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A07D" w14:textId="77777777" w:rsidR="00683026" w:rsidRDefault="00683026" w:rsidP="007B6268">
      <w:pPr>
        <w:rPr>
          <w:rFonts w:ascii="Times New Roman" w:hAnsi="Times New Roman" w:cs="Times New Roman"/>
          <w:b/>
          <w:bCs/>
          <w:sz w:val="32"/>
          <w:szCs w:val="32"/>
        </w:rPr>
      </w:pPr>
    </w:p>
    <w:p w14:paraId="10D29207" w14:textId="3843E30D" w:rsidR="007B6268" w:rsidRPr="008E5998" w:rsidRDefault="007B6268" w:rsidP="007B6268">
      <w:pPr>
        <w:rPr>
          <w:rFonts w:ascii="Arial" w:hAnsi="Arial" w:cs="Arial"/>
          <w:b/>
          <w:bCs/>
          <w:sz w:val="32"/>
          <w:szCs w:val="32"/>
        </w:rPr>
      </w:pPr>
      <w:r w:rsidRPr="008E5998">
        <w:rPr>
          <w:rFonts w:ascii="Arial" w:hAnsi="Arial" w:cs="Arial"/>
          <w:b/>
          <w:bCs/>
          <w:sz w:val="32"/>
          <w:szCs w:val="32"/>
        </w:rPr>
        <w:t>City of Bloomington Community Development Block Grant</w:t>
      </w:r>
      <w:r w:rsidR="00865A84" w:rsidRPr="008E5998">
        <w:rPr>
          <w:rFonts w:ascii="Arial" w:hAnsi="Arial" w:cs="Arial"/>
          <w:b/>
          <w:bCs/>
          <w:sz w:val="32"/>
          <w:szCs w:val="32"/>
        </w:rPr>
        <w:t xml:space="preserve"> </w:t>
      </w:r>
      <w:r w:rsidRPr="008E5998">
        <w:rPr>
          <w:rFonts w:ascii="Arial" w:hAnsi="Arial" w:cs="Arial"/>
          <w:b/>
          <w:bCs/>
          <w:sz w:val="32"/>
          <w:szCs w:val="32"/>
        </w:rPr>
        <w:t>Program Year 202</w:t>
      </w:r>
      <w:r w:rsidR="00763C14" w:rsidRPr="008E5998">
        <w:rPr>
          <w:rFonts w:ascii="Arial" w:hAnsi="Arial" w:cs="Arial"/>
          <w:b/>
          <w:bCs/>
          <w:sz w:val="32"/>
          <w:szCs w:val="32"/>
        </w:rPr>
        <w:t>6</w:t>
      </w:r>
      <w:r w:rsidRPr="008E5998">
        <w:rPr>
          <w:rFonts w:ascii="Arial" w:hAnsi="Arial" w:cs="Arial"/>
          <w:b/>
          <w:bCs/>
          <w:sz w:val="32"/>
          <w:szCs w:val="32"/>
        </w:rPr>
        <w:t xml:space="preserve"> Public </w:t>
      </w:r>
      <w:r w:rsidR="001527AA" w:rsidRPr="008E5998">
        <w:rPr>
          <w:rFonts w:ascii="Arial" w:hAnsi="Arial" w:cs="Arial"/>
          <w:b/>
          <w:bCs/>
          <w:sz w:val="32"/>
          <w:szCs w:val="32"/>
        </w:rPr>
        <w:t xml:space="preserve">Facility, </w:t>
      </w:r>
      <w:r w:rsidRPr="008E5998">
        <w:rPr>
          <w:rFonts w:ascii="Arial" w:hAnsi="Arial" w:cs="Arial"/>
          <w:b/>
          <w:bCs/>
          <w:sz w:val="32"/>
          <w:szCs w:val="32"/>
        </w:rPr>
        <w:t>Infrastructure</w:t>
      </w:r>
      <w:r w:rsidR="001527AA" w:rsidRPr="008E5998">
        <w:rPr>
          <w:rFonts w:ascii="Arial" w:hAnsi="Arial" w:cs="Arial"/>
          <w:b/>
          <w:bCs/>
          <w:sz w:val="32"/>
          <w:szCs w:val="32"/>
        </w:rPr>
        <w:t>,</w:t>
      </w:r>
      <w:r w:rsidRPr="008E5998">
        <w:rPr>
          <w:rFonts w:ascii="Arial" w:hAnsi="Arial" w:cs="Arial"/>
          <w:b/>
          <w:bCs/>
          <w:sz w:val="32"/>
          <w:szCs w:val="32"/>
        </w:rPr>
        <w:t xml:space="preserve"> and Housing </w:t>
      </w:r>
      <w:r w:rsidR="00751F1E" w:rsidRPr="008E5998">
        <w:rPr>
          <w:rFonts w:ascii="Arial" w:hAnsi="Arial" w:cs="Arial"/>
          <w:b/>
          <w:bCs/>
          <w:sz w:val="32"/>
          <w:szCs w:val="32"/>
        </w:rPr>
        <w:t>A</w:t>
      </w:r>
      <w:r w:rsidR="002D4196" w:rsidRPr="008E5998">
        <w:rPr>
          <w:rFonts w:ascii="Arial" w:hAnsi="Arial" w:cs="Arial"/>
          <w:b/>
          <w:bCs/>
          <w:sz w:val="32"/>
          <w:szCs w:val="32"/>
        </w:rPr>
        <w:t xml:space="preserve">ctivities </w:t>
      </w:r>
      <w:r w:rsidR="00BF434A" w:rsidRPr="008E5998">
        <w:rPr>
          <w:rFonts w:ascii="Arial" w:hAnsi="Arial" w:cs="Arial"/>
          <w:b/>
          <w:bCs/>
          <w:sz w:val="32"/>
          <w:szCs w:val="32"/>
        </w:rPr>
        <w:t>Partner Program</w:t>
      </w:r>
      <w:r w:rsidRPr="008E5998">
        <w:rPr>
          <w:rFonts w:ascii="Arial" w:hAnsi="Arial" w:cs="Arial"/>
          <w:b/>
          <w:bCs/>
          <w:sz w:val="32"/>
          <w:szCs w:val="32"/>
        </w:rPr>
        <w:t xml:space="preserve"> Request for Proposal</w:t>
      </w:r>
      <w:r w:rsidR="002008DE" w:rsidRPr="008E5998">
        <w:rPr>
          <w:rFonts w:ascii="Arial" w:hAnsi="Arial" w:cs="Arial"/>
          <w:b/>
          <w:bCs/>
          <w:sz w:val="32"/>
          <w:szCs w:val="32"/>
        </w:rPr>
        <w:t>s</w:t>
      </w:r>
      <w:r w:rsidRPr="008E5998">
        <w:rPr>
          <w:rFonts w:ascii="Arial" w:hAnsi="Arial" w:cs="Arial"/>
          <w:b/>
          <w:bCs/>
          <w:sz w:val="32"/>
          <w:szCs w:val="32"/>
        </w:rPr>
        <w:t xml:space="preserve"> </w:t>
      </w:r>
    </w:p>
    <w:p w14:paraId="15F24DBA" w14:textId="17DE8E96" w:rsidR="007B6268" w:rsidRPr="008E5998" w:rsidRDefault="007B6268" w:rsidP="007B6268">
      <w:pPr>
        <w:rPr>
          <w:rFonts w:ascii="Arial" w:hAnsi="Arial" w:cs="Arial"/>
          <w:sz w:val="24"/>
          <w:szCs w:val="24"/>
        </w:rPr>
      </w:pPr>
      <w:r w:rsidRPr="008E5998">
        <w:rPr>
          <w:rFonts w:ascii="Arial" w:hAnsi="Arial" w:cs="Arial"/>
          <w:sz w:val="24"/>
          <w:szCs w:val="24"/>
        </w:rPr>
        <w:t xml:space="preserve">The City provides grants for public </w:t>
      </w:r>
      <w:r w:rsidR="00E3426B" w:rsidRPr="008E5998">
        <w:rPr>
          <w:rFonts w:ascii="Arial" w:hAnsi="Arial" w:cs="Arial"/>
          <w:sz w:val="24"/>
          <w:szCs w:val="24"/>
        </w:rPr>
        <w:t>facilities</w:t>
      </w:r>
      <w:r w:rsidR="00A14B09" w:rsidRPr="008E5998">
        <w:rPr>
          <w:rFonts w:ascii="Arial" w:hAnsi="Arial" w:cs="Arial"/>
          <w:sz w:val="24"/>
          <w:szCs w:val="24"/>
        </w:rPr>
        <w:t>, public infrastructure, and housing projects</w:t>
      </w:r>
      <w:r w:rsidRPr="008E5998">
        <w:rPr>
          <w:rFonts w:ascii="Arial" w:hAnsi="Arial" w:cs="Arial"/>
          <w:sz w:val="24"/>
          <w:szCs w:val="24"/>
        </w:rPr>
        <w:t xml:space="preserve"> through our</w:t>
      </w:r>
      <w:r w:rsidR="00865A84" w:rsidRPr="008E5998">
        <w:rPr>
          <w:rFonts w:ascii="Arial" w:hAnsi="Arial" w:cs="Arial"/>
          <w:sz w:val="24"/>
          <w:szCs w:val="24"/>
        </w:rPr>
        <w:t xml:space="preserve"> Community Development Block Grant (CDBG)</w:t>
      </w:r>
      <w:r w:rsidRPr="008E5998">
        <w:rPr>
          <w:rFonts w:ascii="Arial" w:hAnsi="Arial" w:cs="Arial"/>
          <w:sz w:val="24"/>
          <w:szCs w:val="24"/>
        </w:rPr>
        <w:t xml:space="preserve"> partner program. </w:t>
      </w:r>
      <w:r w:rsidR="008A67D6" w:rsidRPr="008E5998">
        <w:rPr>
          <w:rFonts w:ascii="Arial" w:hAnsi="Arial" w:cs="Arial"/>
          <w:sz w:val="24"/>
          <w:szCs w:val="24"/>
        </w:rPr>
        <w:t>Applications for Program Year 202</w:t>
      </w:r>
      <w:r w:rsidR="00763C14" w:rsidRPr="008E5998">
        <w:rPr>
          <w:rFonts w:ascii="Arial" w:hAnsi="Arial" w:cs="Arial"/>
          <w:sz w:val="24"/>
          <w:szCs w:val="24"/>
        </w:rPr>
        <w:t>6</w:t>
      </w:r>
      <w:r w:rsidR="008A67D6" w:rsidRPr="008E5998">
        <w:rPr>
          <w:rFonts w:ascii="Arial" w:hAnsi="Arial" w:cs="Arial"/>
          <w:sz w:val="24"/>
          <w:szCs w:val="24"/>
        </w:rPr>
        <w:t xml:space="preserve"> (May 1, 202</w:t>
      </w:r>
      <w:r w:rsidR="004559FA" w:rsidRPr="008E5998">
        <w:rPr>
          <w:rFonts w:ascii="Arial" w:hAnsi="Arial" w:cs="Arial"/>
          <w:sz w:val="24"/>
          <w:szCs w:val="24"/>
        </w:rPr>
        <w:t>6</w:t>
      </w:r>
      <w:r w:rsidR="008A67D6" w:rsidRPr="008E5998">
        <w:rPr>
          <w:rFonts w:ascii="Arial" w:hAnsi="Arial" w:cs="Arial"/>
          <w:sz w:val="24"/>
          <w:szCs w:val="24"/>
        </w:rPr>
        <w:t>-April 30, 202</w:t>
      </w:r>
      <w:r w:rsidR="004559FA" w:rsidRPr="008E5998">
        <w:rPr>
          <w:rFonts w:ascii="Arial" w:hAnsi="Arial" w:cs="Arial"/>
          <w:sz w:val="24"/>
          <w:szCs w:val="24"/>
        </w:rPr>
        <w:t>7</w:t>
      </w:r>
      <w:r w:rsidR="008A67D6" w:rsidRPr="008E5998">
        <w:rPr>
          <w:rFonts w:ascii="Arial" w:hAnsi="Arial" w:cs="Arial"/>
          <w:sz w:val="24"/>
          <w:szCs w:val="24"/>
        </w:rPr>
        <w:t xml:space="preserve">) are available starting on </w:t>
      </w:r>
      <w:r w:rsidR="009E7D8C" w:rsidRPr="008E5998">
        <w:rPr>
          <w:rFonts w:ascii="Arial" w:hAnsi="Arial" w:cs="Arial"/>
          <w:sz w:val="24"/>
          <w:szCs w:val="24"/>
        </w:rPr>
        <w:t>Monday</w:t>
      </w:r>
      <w:r w:rsidR="008A67D6" w:rsidRPr="008E5998">
        <w:rPr>
          <w:rFonts w:ascii="Arial" w:hAnsi="Arial" w:cs="Arial"/>
          <w:sz w:val="24"/>
          <w:szCs w:val="24"/>
        </w:rPr>
        <w:t xml:space="preserve">, November </w:t>
      </w:r>
      <w:r w:rsidR="00707C03" w:rsidRPr="008E5998">
        <w:rPr>
          <w:rFonts w:ascii="Arial" w:hAnsi="Arial" w:cs="Arial"/>
          <w:sz w:val="24"/>
          <w:szCs w:val="24"/>
        </w:rPr>
        <w:t>1</w:t>
      </w:r>
      <w:r w:rsidR="009E7D8C" w:rsidRPr="008E5998">
        <w:rPr>
          <w:rFonts w:ascii="Arial" w:hAnsi="Arial" w:cs="Arial"/>
          <w:sz w:val="24"/>
          <w:szCs w:val="24"/>
        </w:rPr>
        <w:t>7</w:t>
      </w:r>
      <w:r w:rsidR="008A67D6" w:rsidRPr="008E5998">
        <w:rPr>
          <w:rFonts w:ascii="Arial" w:hAnsi="Arial" w:cs="Arial"/>
          <w:sz w:val="24"/>
          <w:szCs w:val="24"/>
        </w:rPr>
        <w:t>, 202</w:t>
      </w:r>
      <w:r w:rsidR="004559FA" w:rsidRPr="008E5998">
        <w:rPr>
          <w:rFonts w:ascii="Arial" w:hAnsi="Arial" w:cs="Arial"/>
          <w:sz w:val="24"/>
          <w:szCs w:val="24"/>
        </w:rPr>
        <w:t>5</w:t>
      </w:r>
      <w:r w:rsidR="008A67D6" w:rsidRPr="008E5998">
        <w:rPr>
          <w:rFonts w:ascii="Arial" w:hAnsi="Arial" w:cs="Arial"/>
          <w:sz w:val="24"/>
          <w:szCs w:val="24"/>
        </w:rPr>
        <w:t xml:space="preserve">. This Request for Proposals (RFP) will cover important information about the grant program. </w:t>
      </w:r>
      <w:r w:rsidR="009963E8" w:rsidRPr="008E5998">
        <w:rPr>
          <w:rFonts w:ascii="Arial" w:hAnsi="Arial" w:cs="Arial"/>
          <w:sz w:val="24"/>
          <w:szCs w:val="24"/>
        </w:rPr>
        <w:t>Please review this guide before submitting your application.</w:t>
      </w:r>
    </w:p>
    <w:p w14:paraId="0B9CA407" w14:textId="01EEAB95" w:rsidR="007B6268" w:rsidRPr="008E5998" w:rsidRDefault="007B6268" w:rsidP="007B6268">
      <w:pPr>
        <w:rPr>
          <w:rFonts w:ascii="Arial" w:hAnsi="Arial" w:cs="Arial"/>
          <w:sz w:val="24"/>
          <w:szCs w:val="24"/>
        </w:rPr>
      </w:pPr>
    </w:p>
    <w:p w14:paraId="3B87BCC2" w14:textId="58DE459D" w:rsidR="007B6268" w:rsidRPr="008E5998" w:rsidRDefault="007B6268" w:rsidP="007B6268">
      <w:pPr>
        <w:pStyle w:val="paragraph"/>
        <w:spacing w:before="0" w:beforeAutospacing="0" w:after="0" w:afterAutospacing="0"/>
        <w:textAlignment w:val="baseline"/>
        <w:rPr>
          <w:rStyle w:val="eop"/>
          <w:rFonts w:ascii="Arial" w:hAnsi="Arial" w:cs="Arial"/>
        </w:rPr>
      </w:pPr>
      <w:r w:rsidRPr="008E5998">
        <w:rPr>
          <w:rStyle w:val="normaltextrun"/>
          <w:rFonts w:ascii="Arial" w:hAnsi="Arial" w:cs="Arial"/>
          <w:u w:val="single"/>
        </w:rPr>
        <w:t>About the CDBG Program</w:t>
      </w:r>
      <w:r w:rsidRPr="008E5998">
        <w:rPr>
          <w:rStyle w:val="eop"/>
          <w:rFonts w:ascii="Arial" w:hAnsi="Arial" w:cs="Arial"/>
        </w:rPr>
        <w:t> </w:t>
      </w:r>
    </w:p>
    <w:p w14:paraId="66E5F600" w14:textId="77777777" w:rsidR="00FB1654" w:rsidRPr="008E5998" w:rsidRDefault="00FB1654" w:rsidP="007B6268">
      <w:pPr>
        <w:pStyle w:val="paragraph"/>
        <w:spacing w:before="0" w:beforeAutospacing="0" w:after="0" w:afterAutospacing="0"/>
        <w:textAlignment w:val="baseline"/>
        <w:rPr>
          <w:rFonts w:ascii="Arial" w:hAnsi="Arial" w:cs="Arial"/>
          <w:sz w:val="18"/>
          <w:szCs w:val="18"/>
        </w:rPr>
      </w:pPr>
    </w:p>
    <w:p w14:paraId="1018226C" w14:textId="77777777" w:rsidR="00DB073F" w:rsidRPr="008E5998" w:rsidRDefault="00DB073F" w:rsidP="00DB073F">
      <w:pPr>
        <w:rPr>
          <w:rFonts w:ascii="Arial" w:hAnsi="Arial" w:cs="Arial"/>
          <w:sz w:val="24"/>
          <w:szCs w:val="24"/>
        </w:rPr>
      </w:pPr>
      <w:r w:rsidRPr="008E5998">
        <w:rPr>
          <w:rFonts w:ascii="Arial" w:hAnsi="Arial" w:cs="Arial"/>
          <w:sz w:val="24"/>
          <w:szCs w:val="24"/>
        </w:rPr>
        <w:t xml:space="preserve">The CDBG Program is authorized under Title I of the Housing and Community Development Act of 1974, as amended. Federal Regulations for the CDBG program are found at </w:t>
      </w:r>
      <w:hyperlink r:id="rId10" w:history="1">
        <w:r w:rsidRPr="008E5998">
          <w:rPr>
            <w:rStyle w:val="Hyperlink"/>
            <w:rFonts w:ascii="Arial" w:hAnsi="Arial" w:cs="Arial"/>
            <w:sz w:val="24"/>
            <w:szCs w:val="24"/>
          </w:rPr>
          <w:t>24 CFR Part 570</w:t>
        </w:r>
      </w:hyperlink>
      <w:r w:rsidRPr="008E5998">
        <w:rPr>
          <w:rFonts w:ascii="Arial" w:hAnsi="Arial" w:cs="Arial"/>
          <w:sz w:val="24"/>
          <w:szCs w:val="24"/>
        </w:rPr>
        <w:t xml:space="preserve">. Federal regulations providing uniform guidance on Federal awards are found at </w:t>
      </w:r>
      <w:hyperlink r:id="rId11" w:history="1">
        <w:r w:rsidRPr="008E5998">
          <w:rPr>
            <w:rStyle w:val="Hyperlink"/>
            <w:rFonts w:ascii="Arial" w:hAnsi="Arial" w:cs="Arial"/>
            <w:sz w:val="24"/>
            <w:szCs w:val="24"/>
          </w:rPr>
          <w:t>2 CFR Part 200</w:t>
        </w:r>
      </w:hyperlink>
      <w:r w:rsidRPr="008E5998">
        <w:rPr>
          <w:rFonts w:ascii="Arial" w:hAnsi="Arial" w:cs="Arial"/>
          <w:sz w:val="24"/>
          <w:szCs w:val="24"/>
        </w:rPr>
        <w:t xml:space="preserve">. The United States Department of Housing and Urban Development (HUD) oversees the program at the federal level. </w:t>
      </w:r>
    </w:p>
    <w:p w14:paraId="7A85FD91" w14:textId="77777777" w:rsidR="00CD2BC9" w:rsidRPr="00CD2BC9" w:rsidRDefault="00CD2BC9" w:rsidP="00CD2BC9">
      <w:pPr>
        <w:pStyle w:val="paragraph"/>
        <w:spacing w:after="0"/>
        <w:textAlignment w:val="baseline"/>
        <w:rPr>
          <w:rFonts w:ascii="Arial" w:hAnsi="Arial" w:cs="Arial"/>
        </w:rPr>
      </w:pPr>
      <w:r w:rsidRPr="00CD2BC9">
        <w:rPr>
          <w:rFonts w:ascii="Arial" w:hAnsi="Arial" w:cs="Arial"/>
        </w:rPr>
        <w:t xml:space="preserve">The City of Bloomington has administered the CDBG program since 1974 as an entitlement grantee. Management of the CDBG program within the City is led by the Community Impact and Enhancement Department. The CDBG program operates on a five-year Consolidated Plan that is built on significant public engagement and research. Each year, the City submits an Annual Action Plan that describes the various activities the City will undertake within the program year to accomplish goals set in the 2025-2029 Consolidated Plan. Subawards provided through the partner program make the awarded organization a subrecipient of CDBG funds. HUD limits the amount of funding allocated to Public Service activities to no more than fifteen percent (15%) of the City’s annual CDBG allocation. Administration activities are capped at twenty percent (20%) of the City’s annual CDBG allocation. </w:t>
      </w:r>
    </w:p>
    <w:p w14:paraId="54B3D2FA" w14:textId="77777777" w:rsidR="00C377C6" w:rsidRPr="00C377C6" w:rsidRDefault="00C377C6" w:rsidP="00C377C6">
      <w:pPr>
        <w:rPr>
          <w:rFonts w:ascii="Arial" w:hAnsi="Arial" w:cs="Arial"/>
          <w:sz w:val="24"/>
          <w:szCs w:val="24"/>
        </w:rPr>
      </w:pPr>
      <w:r w:rsidRPr="00C377C6">
        <w:rPr>
          <w:rFonts w:ascii="Arial" w:hAnsi="Arial" w:cs="Arial"/>
          <w:sz w:val="24"/>
          <w:szCs w:val="24"/>
        </w:rPr>
        <w:t xml:space="preserve">You can find the City’s 2025-2029 Consolidated Plan here: </w:t>
      </w:r>
      <w:hyperlink r:id="rId12" w:history="1">
        <w:r w:rsidRPr="00C377C6">
          <w:rPr>
            <w:rStyle w:val="Hyperlink"/>
            <w:rFonts w:ascii="Arial" w:hAnsi="Arial" w:cs="Arial"/>
            <w:sz w:val="24"/>
            <w:szCs w:val="24"/>
          </w:rPr>
          <w:t>https://www.bloomingtonil.gov/departments/community-impact-enhancement/grants-management-division/community-development-block-grant-cdbg/consolidated-plan</w:t>
        </w:r>
      </w:hyperlink>
      <w:r w:rsidRPr="00C377C6">
        <w:rPr>
          <w:rFonts w:ascii="Arial" w:hAnsi="Arial" w:cs="Arial"/>
          <w:sz w:val="24"/>
          <w:szCs w:val="24"/>
        </w:rPr>
        <w:t xml:space="preserve"> </w:t>
      </w:r>
    </w:p>
    <w:p w14:paraId="7B926D0E" w14:textId="77777777" w:rsidR="007B6268" w:rsidRPr="008E5998" w:rsidRDefault="007B6268" w:rsidP="007B6268">
      <w:pPr>
        <w:rPr>
          <w:rFonts w:ascii="Arial" w:hAnsi="Arial" w:cs="Arial"/>
          <w:sz w:val="24"/>
          <w:szCs w:val="24"/>
        </w:rPr>
      </w:pPr>
    </w:p>
    <w:p w14:paraId="134D50A6" w14:textId="77777777" w:rsidR="007B6268" w:rsidRPr="008E5998" w:rsidRDefault="007B6268" w:rsidP="007B6268">
      <w:pPr>
        <w:rPr>
          <w:rFonts w:ascii="Arial" w:hAnsi="Arial" w:cs="Arial"/>
          <w:sz w:val="24"/>
          <w:szCs w:val="24"/>
          <w:u w:val="single"/>
        </w:rPr>
      </w:pPr>
      <w:r w:rsidRPr="008E5998">
        <w:rPr>
          <w:rFonts w:ascii="Arial" w:hAnsi="Arial" w:cs="Arial"/>
          <w:sz w:val="24"/>
          <w:szCs w:val="24"/>
          <w:u w:val="single"/>
        </w:rPr>
        <w:t>Who Can Apply</w:t>
      </w:r>
    </w:p>
    <w:p w14:paraId="61527BD5" w14:textId="77777777" w:rsidR="00425670" w:rsidRDefault="007B6268" w:rsidP="00D947B2">
      <w:pPr>
        <w:rPr>
          <w:rFonts w:ascii="Arial" w:hAnsi="Arial" w:cs="Arial"/>
          <w:sz w:val="24"/>
          <w:szCs w:val="24"/>
        </w:rPr>
      </w:pPr>
      <w:r w:rsidRPr="008E5998">
        <w:rPr>
          <w:rFonts w:ascii="Arial" w:hAnsi="Arial" w:cs="Arial"/>
          <w:sz w:val="24"/>
          <w:szCs w:val="24"/>
        </w:rPr>
        <w:t xml:space="preserve">The CDBG program identifies </w:t>
      </w:r>
      <w:r w:rsidR="00B602C2" w:rsidRPr="008E5998">
        <w:rPr>
          <w:rFonts w:ascii="Arial" w:hAnsi="Arial" w:cs="Arial"/>
          <w:sz w:val="24"/>
          <w:szCs w:val="24"/>
        </w:rPr>
        <w:t>publicly owned</w:t>
      </w:r>
      <w:r w:rsidRPr="008E5998">
        <w:rPr>
          <w:rFonts w:ascii="Arial" w:hAnsi="Arial" w:cs="Arial"/>
          <w:sz w:val="24"/>
          <w:szCs w:val="24"/>
        </w:rPr>
        <w:t xml:space="preserve"> facilities and infrastructure, such as streets, sewers, sidewalks and parks, and buildings owned by not-for-profits that are </w:t>
      </w:r>
    </w:p>
    <w:p w14:paraId="36BA70E4" w14:textId="77777777" w:rsidR="00425670" w:rsidRDefault="00425670" w:rsidP="00D947B2">
      <w:pPr>
        <w:rPr>
          <w:rFonts w:ascii="Arial" w:hAnsi="Arial" w:cs="Arial"/>
          <w:sz w:val="24"/>
          <w:szCs w:val="24"/>
        </w:rPr>
      </w:pPr>
    </w:p>
    <w:p w14:paraId="16F058C7" w14:textId="34658C0C" w:rsidR="00D947B2" w:rsidRPr="008E5998" w:rsidRDefault="007B6268" w:rsidP="00D947B2">
      <w:pPr>
        <w:rPr>
          <w:rFonts w:ascii="Arial" w:hAnsi="Arial" w:cs="Arial"/>
          <w:sz w:val="24"/>
          <w:szCs w:val="24"/>
        </w:rPr>
      </w:pPr>
      <w:r w:rsidRPr="008E5998">
        <w:rPr>
          <w:rFonts w:ascii="Arial" w:hAnsi="Arial" w:cs="Arial"/>
          <w:sz w:val="24"/>
          <w:szCs w:val="24"/>
        </w:rPr>
        <w:t xml:space="preserve">open to the general public as </w:t>
      </w:r>
      <w:r w:rsidR="00B602C2" w:rsidRPr="008E5998">
        <w:rPr>
          <w:rFonts w:ascii="Arial" w:hAnsi="Arial" w:cs="Arial"/>
          <w:sz w:val="24"/>
          <w:szCs w:val="24"/>
        </w:rPr>
        <w:t>p</w:t>
      </w:r>
      <w:r w:rsidRPr="008E5998">
        <w:rPr>
          <w:rFonts w:ascii="Arial" w:hAnsi="Arial" w:cs="Arial"/>
          <w:sz w:val="24"/>
          <w:szCs w:val="24"/>
        </w:rPr>
        <w:t xml:space="preserve">ublic </w:t>
      </w:r>
      <w:r w:rsidR="00B602C2" w:rsidRPr="008E5998">
        <w:rPr>
          <w:rFonts w:ascii="Arial" w:hAnsi="Arial" w:cs="Arial"/>
          <w:sz w:val="24"/>
          <w:szCs w:val="24"/>
        </w:rPr>
        <w:t>f</w:t>
      </w:r>
      <w:r w:rsidRPr="008E5998">
        <w:rPr>
          <w:rFonts w:ascii="Arial" w:hAnsi="Arial" w:cs="Arial"/>
          <w:sz w:val="24"/>
          <w:szCs w:val="24"/>
        </w:rPr>
        <w:t xml:space="preserve">acilities and </w:t>
      </w:r>
      <w:r w:rsidR="00B602C2" w:rsidRPr="008E5998">
        <w:rPr>
          <w:rFonts w:ascii="Arial" w:hAnsi="Arial" w:cs="Arial"/>
          <w:sz w:val="24"/>
          <w:szCs w:val="24"/>
        </w:rPr>
        <w:t>i</w:t>
      </w:r>
      <w:r w:rsidRPr="008E5998">
        <w:rPr>
          <w:rFonts w:ascii="Arial" w:hAnsi="Arial" w:cs="Arial"/>
          <w:sz w:val="24"/>
          <w:szCs w:val="24"/>
        </w:rPr>
        <w:t xml:space="preserve">nfrastructure. This includes housing rehabilitation for special populations when the unit is owned by a not-for-profit and will be dedicated to affordable housing. Public </w:t>
      </w:r>
      <w:r w:rsidR="00B602C2" w:rsidRPr="008E5998">
        <w:rPr>
          <w:rFonts w:ascii="Arial" w:hAnsi="Arial" w:cs="Arial"/>
          <w:sz w:val="24"/>
          <w:szCs w:val="24"/>
        </w:rPr>
        <w:t>f</w:t>
      </w:r>
      <w:r w:rsidRPr="008E5998">
        <w:rPr>
          <w:rFonts w:ascii="Arial" w:hAnsi="Arial" w:cs="Arial"/>
          <w:sz w:val="24"/>
          <w:szCs w:val="24"/>
        </w:rPr>
        <w:t xml:space="preserve">acility and </w:t>
      </w:r>
      <w:r w:rsidR="00B602C2" w:rsidRPr="008E5998">
        <w:rPr>
          <w:rFonts w:ascii="Arial" w:hAnsi="Arial" w:cs="Arial"/>
          <w:sz w:val="24"/>
          <w:szCs w:val="24"/>
        </w:rPr>
        <w:t>i</w:t>
      </w:r>
      <w:r w:rsidRPr="008E5998">
        <w:rPr>
          <w:rFonts w:ascii="Arial" w:hAnsi="Arial" w:cs="Arial"/>
          <w:sz w:val="24"/>
          <w:szCs w:val="24"/>
        </w:rPr>
        <w:t xml:space="preserve">nfrastructure </w:t>
      </w:r>
      <w:r w:rsidR="00B602C2" w:rsidRPr="008E5998">
        <w:rPr>
          <w:rFonts w:ascii="Arial" w:hAnsi="Arial" w:cs="Arial"/>
          <w:sz w:val="24"/>
          <w:szCs w:val="24"/>
        </w:rPr>
        <w:t>i</w:t>
      </w:r>
      <w:r w:rsidRPr="008E5998">
        <w:rPr>
          <w:rFonts w:ascii="Arial" w:hAnsi="Arial" w:cs="Arial"/>
          <w:sz w:val="24"/>
          <w:szCs w:val="24"/>
        </w:rPr>
        <w:t>mprovement grants are available to not-for-profits, other tax-exempt organizations,</w:t>
      </w:r>
      <w:r w:rsidR="00C76442" w:rsidRPr="008E5998">
        <w:rPr>
          <w:rFonts w:ascii="Arial" w:hAnsi="Arial" w:cs="Arial"/>
          <w:sz w:val="24"/>
          <w:szCs w:val="24"/>
        </w:rPr>
        <w:t xml:space="preserve"> affordable housing developers</w:t>
      </w:r>
      <w:r w:rsidR="00632BFA" w:rsidRPr="008E5998">
        <w:rPr>
          <w:rFonts w:ascii="Arial" w:hAnsi="Arial" w:cs="Arial"/>
          <w:sz w:val="24"/>
          <w:szCs w:val="24"/>
        </w:rPr>
        <w:t xml:space="preserve"> (infrastructure only)</w:t>
      </w:r>
      <w:r w:rsidR="00C76442" w:rsidRPr="008E5998">
        <w:rPr>
          <w:rFonts w:ascii="Arial" w:hAnsi="Arial" w:cs="Arial"/>
          <w:sz w:val="24"/>
          <w:szCs w:val="24"/>
        </w:rPr>
        <w:t>,</w:t>
      </w:r>
      <w:r w:rsidRPr="008E5998">
        <w:rPr>
          <w:rFonts w:ascii="Arial" w:hAnsi="Arial" w:cs="Arial"/>
          <w:sz w:val="24"/>
          <w:szCs w:val="24"/>
        </w:rPr>
        <w:t xml:space="preserve"> and units of local government that provide facility and infrastructure improvements benefiting </w:t>
      </w:r>
      <w:r w:rsidR="00B602C2" w:rsidRPr="008E5998">
        <w:rPr>
          <w:rFonts w:ascii="Arial" w:hAnsi="Arial" w:cs="Arial"/>
          <w:sz w:val="24"/>
          <w:szCs w:val="24"/>
        </w:rPr>
        <w:t xml:space="preserve">low-to-moderate income residents. </w:t>
      </w:r>
      <w:r w:rsidR="00D947B2" w:rsidRPr="008E5998">
        <w:rPr>
          <w:rFonts w:ascii="Arial" w:hAnsi="Arial" w:cs="Arial"/>
          <w:sz w:val="24"/>
          <w:szCs w:val="24"/>
        </w:rPr>
        <w:t xml:space="preserve">Individuals served with City of Bloomington CDBG funding must live within the corporate limits of the City of Bloomington. Eligible organizations must have a </w:t>
      </w:r>
      <w:hyperlink r:id="rId13" w:history="1">
        <w:r w:rsidR="00D947B2" w:rsidRPr="008E5998">
          <w:rPr>
            <w:rStyle w:val="Hyperlink"/>
            <w:rFonts w:ascii="Arial" w:hAnsi="Arial" w:cs="Arial"/>
            <w:sz w:val="24"/>
            <w:szCs w:val="24"/>
          </w:rPr>
          <w:t>Unique Entity Identifier (UEI)</w:t>
        </w:r>
      </w:hyperlink>
      <w:r w:rsidR="00D947B2" w:rsidRPr="008E5998">
        <w:rPr>
          <w:rFonts w:ascii="Arial" w:hAnsi="Arial" w:cs="Arial"/>
          <w:sz w:val="24"/>
          <w:szCs w:val="24"/>
        </w:rPr>
        <w:t xml:space="preserve">. Organizations applying CDBG funding cannot be debarred, suspended, or otherwise excluded from or ineligible for participation in Federal assistance programs or activities per </w:t>
      </w:r>
      <w:hyperlink r:id="rId14" w:history="1">
        <w:r w:rsidR="00D947B2" w:rsidRPr="008E5998">
          <w:rPr>
            <w:rStyle w:val="Hyperlink"/>
            <w:rFonts w:ascii="Arial" w:hAnsi="Arial" w:cs="Arial"/>
            <w:sz w:val="24"/>
            <w:szCs w:val="24"/>
          </w:rPr>
          <w:t>2 CFR 200.214</w:t>
        </w:r>
      </w:hyperlink>
    </w:p>
    <w:p w14:paraId="63D0978E" w14:textId="77777777" w:rsidR="00255178" w:rsidRPr="008E5998" w:rsidRDefault="00255178" w:rsidP="007B6268">
      <w:pPr>
        <w:rPr>
          <w:rFonts w:ascii="Arial" w:hAnsi="Arial" w:cs="Arial"/>
          <w:sz w:val="24"/>
          <w:szCs w:val="24"/>
        </w:rPr>
      </w:pPr>
    </w:p>
    <w:p w14:paraId="55E12BC7" w14:textId="77777777" w:rsidR="00912771" w:rsidRPr="008E5998" w:rsidRDefault="007B6268" w:rsidP="007B6268">
      <w:pPr>
        <w:rPr>
          <w:rFonts w:ascii="Arial" w:hAnsi="Arial" w:cs="Arial"/>
          <w:sz w:val="24"/>
          <w:szCs w:val="24"/>
          <w:u w:val="single"/>
        </w:rPr>
      </w:pPr>
      <w:r w:rsidRPr="008E5998">
        <w:rPr>
          <w:rFonts w:ascii="Arial" w:hAnsi="Arial" w:cs="Arial"/>
          <w:sz w:val="24"/>
          <w:szCs w:val="24"/>
          <w:u w:val="single"/>
        </w:rPr>
        <w:t xml:space="preserve">CDBG </w:t>
      </w:r>
      <w:r w:rsidR="00E372D4" w:rsidRPr="008E5998">
        <w:rPr>
          <w:rFonts w:ascii="Arial" w:hAnsi="Arial" w:cs="Arial"/>
          <w:sz w:val="24"/>
          <w:szCs w:val="24"/>
          <w:u w:val="single"/>
        </w:rPr>
        <w:t>National Objectives and Regulatory Compliance</w:t>
      </w:r>
    </w:p>
    <w:p w14:paraId="25EE49A9" w14:textId="28BEA267" w:rsidR="003810FB" w:rsidRPr="008E5998" w:rsidRDefault="003810FB" w:rsidP="007B6268">
      <w:p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 xml:space="preserve">CDBG </w:t>
      </w:r>
      <w:r w:rsidR="009E4EA8" w:rsidRPr="008E5998">
        <w:rPr>
          <w:rFonts w:ascii="Arial" w:eastAsia="Times New Roman" w:hAnsi="Arial" w:cs="Arial"/>
          <w:color w:val="000000" w:themeColor="text1"/>
          <w:sz w:val="24"/>
          <w:szCs w:val="24"/>
        </w:rPr>
        <w:t xml:space="preserve">public </w:t>
      </w:r>
      <w:r w:rsidR="00502BDB" w:rsidRPr="008E5998">
        <w:rPr>
          <w:rFonts w:ascii="Arial" w:eastAsia="Times New Roman" w:hAnsi="Arial" w:cs="Arial"/>
          <w:color w:val="000000" w:themeColor="text1"/>
          <w:sz w:val="24"/>
          <w:szCs w:val="24"/>
        </w:rPr>
        <w:t>facilities</w:t>
      </w:r>
      <w:r w:rsidR="009E4EA8" w:rsidRPr="008E5998">
        <w:rPr>
          <w:rFonts w:ascii="Arial" w:eastAsia="Times New Roman" w:hAnsi="Arial" w:cs="Arial"/>
          <w:color w:val="000000" w:themeColor="text1"/>
          <w:sz w:val="24"/>
          <w:szCs w:val="24"/>
        </w:rPr>
        <w:t>, public infrastructure, and housing</w:t>
      </w:r>
      <w:r w:rsidRPr="008E5998">
        <w:rPr>
          <w:rFonts w:ascii="Arial" w:eastAsia="Times New Roman" w:hAnsi="Arial" w:cs="Arial"/>
          <w:color w:val="000000" w:themeColor="text1"/>
          <w:sz w:val="24"/>
          <w:szCs w:val="24"/>
        </w:rPr>
        <w:t xml:space="preserve"> projects must principally benefit low</w:t>
      </w:r>
      <w:r w:rsidR="009E4EA8" w:rsidRPr="008E5998">
        <w:rPr>
          <w:rFonts w:ascii="Arial" w:eastAsia="Times New Roman" w:hAnsi="Arial" w:cs="Arial"/>
          <w:color w:val="000000" w:themeColor="text1"/>
          <w:sz w:val="24"/>
          <w:szCs w:val="24"/>
        </w:rPr>
        <w:t>-to-moderate</w:t>
      </w:r>
      <w:r w:rsidR="00D3067B" w:rsidRPr="008E5998">
        <w:rPr>
          <w:rFonts w:ascii="Arial" w:eastAsia="Times New Roman" w:hAnsi="Arial" w:cs="Arial"/>
          <w:color w:val="000000" w:themeColor="text1"/>
          <w:sz w:val="24"/>
          <w:szCs w:val="24"/>
        </w:rPr>
        <w:t xml:space="preserve"> </w:t>
      </w:r>
      <w:r w:rsidRPr="008E5998">
        <w:rPr>
          <w:rFonts w:ascii="Arial" w:eastAsia="Times New Roman" w:hAnsi="Arial" w:cs="Arial"/>
          <w:color w:val="000000" w:themeColor="text1"/>
          <w:sz w:val="24"/>
          <w:szCs w:val="24"/>
        </w:rPr>
        <w:t xml:space="preserve">income persons under the low-to-moderate income (LMI) national objective. CDBG funded </w:t>
      </w:r>
      <w:r w:rsidR="00455072" w:rsidRPr="008E5998">
        <w:rPr>
          <w:rFonts w:ascii="Arial" w:eastAsia="Times New Roman" w:hAnsi="Arial" w:cs="Arial"/>
          <w:color w:val="000000" w:themeColor="text1"/>
          <w:sz w:val="24"/>
          <w:szCs w:val="24"/>
        </w:rPr>
        <w:t>public infrastructure, facility, or housing improvement</w:t>
      </w:r>
      <w:r w:rsidRPr="008E5998">
        <w:rPr>
          <w:rFonts w:ascii="Arial" w:eastAsia="Times New Roman" w:hAnsi="Arial" w:cs="Arial"/>
          <w:color w:val="000000" w:themeColor="text1"/>
          <w:sz w:val="24"/>
          <w:szCs w:val="24"/>
        </w:rPr>
        <w:t xml:space="preserve"> activities are typically categorized under the LMI National Objective Benefit as either an Area Benefit or Limited Clientele. </w:t>
      </w:r>
      <w:r w:rsidR="00455072" w:rsidRPr="008E5998">
        <w:rPr>
          <w:rFonts w:ascii="Arial" w:eastAsia="Times New Roman" w:hAnsi="Arial" w:cs="Arial"/>
          <w:color w:val="000000" w:themeColor="text1"/>
          <w:sz w:val="24"/>
          <w:szCs w:val="24"/>
        </w:rPr>
        <w:t>How</w:t>
      </w:r>
      <w:r w:rsidR="00723439" w:rsidRPr="008E5998">
        <w:rPr>
          <w:rFonts w:ascii="Arial" w:eastAsia="Times New Roman" w:hAnsi="Arial" w:cs="Arial"/>
          <w:color w:val="000000" w:themeColor="text1"/>
          <w:sz w:val="24"/>
          <w:szCs w:val="24"/>
        </w:rPr>
        <w:t xml:space="preserve">ever, some projects may use the LMI </w:t>
      </w:r>
      <w:r w:rsidR="00F9775B" w:rsidRPr="008E5998">
        <w:rPr>
          <w:rFonts w:ascii="Arial" w:eastAsia="Times New Roman" w:hAnsi="Arial" w:cs="Arial"/>
          <w:color w:val="000000" w:themeColor="text1"/>
          <w:sz w:val="24"/>
          <w:szCs w:val="24"/>
        </w:rPr>
        <w:t xml:space="preserve">job creation national objective. </w:t>
      </w:r>
      <w:r w:rsidRPr="008E5998">
        <w:rPr>
          <w:rFonts w:ascii="Arial" w:eastAsia="Times New Roman" w:hAnsi="Arial" w:cs="Arial"/>
          <w:color w:val="000000" w:themeColor="text1"/>
          <w:sz w:val="24"/>
          <w:szCs w:val="24"/>
        </w:rPr>
        <w:t xml:space="preserve">You can review the applicable federal regulations at </w:t>
      </w:r>
      <w:hyperlink r:id="rId15" w:tgtFrame="_blank" w:history="1">
        <w:r w:rsidRPr="008E5998">
          <w:rPr>
            <w:rStyle w:val="Hyperlink"/>
            <w:rFonts w:ascii="Arial" w:eastAsia="Times New Roman" w:hAnsi="Arial" w:cs="Arial"/>
            <w:sz w:val="24"/>
            <w:szCs w:val="24"/>
          </w:rPr>
          <w:t>24 CFR 570.208</w:t>
        </w:r>
      </w:hyperlink>
      <w:r w:rsidRPr="008E5998">
        <w:rPr>
          <w:rFonts w:ascii="Arial" w:eastAsia="Times New Roman" w:hAnsi="Arial" w:cs="Arial"/>
          <w:color w:val="000000" w:themeColor="text1"/>
          <w:sz w:val="24"/>
          <w:szCs w:val="24"/>
        </w:rPr>
        <w:t>. A household is defined as low-to-moderate income, for the purposes of this program, at</w:t>
      </w:r>
      <w:r w:rsidR="00041416" w:rsidRPr="008E5998">
        <w:rPr>
          <w:rFonts w:ascii="Arial" w:eastAsia="Times New Roman" w:hAnsi="Arial" w:cs="Arial"/>
          <w:color w:val="000000" w:themeColor="text1"/>
          <w:sz w:val="24"/>
          <w:szCs w:val="24"/>
        </w:rPr>
        <w:t xml:space="preserve"> or below</w:t>
      </w:r>
      <w:r w:rsidRPr="008E5998">
        <w:rPr>
          <w:rFonts w:ascii="Arial" w:eastAsia="Times New Roman" w:hAnsi="Arial" w:cs="Arial"/>
          <w:color w:val="000000" w:themeColor="text1"/>
          <w:sz w:val="24"/>
          <w:szCs w:val="24"/>
        </w:rPr>
        <w:t xml:space="preserve"> eighty percent (80%) of Area Median Income (AMI) for the household’s size. </w:t>
      </w:r>
      <w:r w:rsidR="00FA3F88" w:rsidRPr="008E5998">
        <w:rPr>
          <w:rFonts w:ascii="Arial" w:eastAsia="Times New Roman" w:hAnsi="Arial" w:cs="Arial"/>
          <w:color w:val="000000" w:themeColor="text1"/>
          <w:sz w:val="24"/>
          <w:szCs w:val="24"/>
        </w:rPr>
        <w:t xml:space="preserve">You can find current AMI and income limit information </w:t>
      </w:r>
      <w:hyperlink r:id="rId16" w:history="1">
        <w:r w:rsidR="00FA3F88" w:rsidRPr="008E5998">
          <w:rPr>
            <w:rStyle w:val="Hyperlink"/>
            <w:rFonts w:ascii="Arial" w:eastAsia="Times New Roman" w:hAnsi="Arial" w:cs="Arial"/>
            <w:sz w:val="24"/>
            <w:szCs w:val="24"/>
          </w:rPr>
          <w:t>here</w:t>
        </w:r>
      </w:hyperlink>
      <w:r w:rsidR="00FA3F88" w:rsidRPr="008E5998">
        <w:rPr>
          <w:rFonts w:ascii="Arial" w:eastAsia="Times New Roman" w:hAnsi="Arial" w:cs="Arial"/>
          <w:color w:val="000000" w:themeColor="text1"/>
          <w:sz w:val="24"/>
          <w:szCs w:val="24"/>
        </w:rPr>
        <w:t xml:space="preserve">. AMI information is updated at least annually. </w:t>
      </w:r>
      <w:r w:rsidRPr="008E5998">
        <w:rPr>
          <w:rFonts w:ascii="Arial" w:eastAsia="Times New Roman" w:hAnsi="Arial" w:cs="Arial"/>
          <w:color w:val="000000" w:themeColor="text1"/>
          <w:sz w:val="24"/>
          <w:szCs w:val="24"/>
        </w:rPr>
        <w:t>CDBG grantees and subrecipients are required to use the valid AMI information when assessing income eligibility.  </w:t>
      </w:r>
      <w:r w:rsidR="00255178" w:rsidRPr="008E5998">
        <w:rPr>
          <w:rFonts w:ascii="Arial" w:hAnsi="Arial" w:cs="Arial"/>
          <w:sz w:val="24"/>
          <w:szCs w:val="24"/>
        </w:rPr>
        <w:t xml:space="preserve">Documentation of income eligibility must be supported by sufficient documentation to show compliance with the applicable federal regulations. </w:t>
      </w:r>
    </w:p>
    <w:p w14:paraId="7EA5E611" w14:textId="7F65BEA1" w:rsidR="003A11C5" w:rsidRPr="008E5998" w:rsidRDefault="00355113" w:rsidP="00355113">
      <w:pPr>
        <w:pStyle w:val="ListParagraph"/>
        <w:numPr>
          <w:ilvl w:val="0"/>
          <w:numId w:val="14"/>
        </w:numPr>
        <w:rPr>
          <w:rFonts w:ascii="Arial" w:eastAsia="Times New Roman" w:hAnsi="Arial" w:cs="Arial"/>
          <w:b/>
          <w:bCs/>
          <w:color w:val="000000" w:themeColor="text1"/>
          <w:sz w:val="24"/>
          <w:szCs w:val="24"/>
        </w:rPr>
      </w:pPr>
      <w:r w:rsidRPr="008E5998">
        <w:rPr>
          <w:rFonts w:ascii="Arial" w:eastAsia="Times New Roman" w:hAnsi="Arial" w:cs="Arial"/>
          <w:b/>
          <w:bCs/>
          <w:color w:val="000000" w:themeColor="text1"/>
          <w:sz w:val="24"/>
          <w:szCs w:val="24"/>
        </w:rPr>
        <w:t>LMI Area Benefit</w:t>
      </w:r>
    </w:p>
    <w:p w14:paraId="7D4F1C6C" w14:textId="46743014" w:rsidR="00355113" w:rsidRPr="008E5998" w:rsidRDefault="00CC7A30" w:rsidP="00355113">
      <w:pPr>
        <w:pStyle w:val="ListParagraph"/>
        <w:numPr>
          <w:ilvl w:val="1"/>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 xml:space="preserve">Under an area benefit criteria, the public </w:t>
      </w:r>
      <w:r w:rsidR="00A57095" w:rsidRPr="008E5998">
        <w:rPr>
          <w:rFonts w:ascii="Arial" w:eastAsia="Times New Roman" w:hAnsi="Arial" w:cs="Arial"/>
          <w:color w:val="000000" w:themeColor="text1"/>
          <w:sz w:val="24"/>
          <w:szCs w:val="24"/>
        </w:rPr>
        <w:t>facility or infrastructure act</w:t>
      </w:r>
      <w:r w:rsidR="0099779D" w:rsidRPr="008E5998">
        <w:rPr>
          <w:rFonts w:ascii="Arial" w:eastAsia="Times New Roman" w:hAnsi="Arial" w:cs="Arial"/>
          <w:color w:val="000000" w:themeColor="text1"/>
          <w:sz w:val="24"/>
          <w:szCs w:val="24"/>
        </w:rPr>
        <w:t>ivity</w:t>
      </w:r>
      <w:r w:rsidRPr="008E5998">
        <w:rPr>
          <w:rFonts w:ascii="Arial" w:eastAsia="Times New Roman" w:hAnsi="Arial" w:cs="Arial"/>
          <w:color w:val="000000" w:themeColor="text1"/>
          <w:sz w:val="24"/>
          <w:szCs w:val="24"/>
        </w:rPr>
        <w:t xml:space="preserve"> must be available to all residents of an area where at least fifty-one percent (51%) of the residents are LMI. The area must be clearly delineated by the grantee (and subrecipient) and must be primarily residential.  </w:t>
      </w:r>
    </w:p>
    <w:p w14:paraId="5FC86FAE" w14:textId="57D1E7C0" w:rsidR="00CC7A30" w:rsidRPr="008E5998" w:rsidRDefault="00CC7A30" w:rsidP="00355113">
      <w:pPr>
        <w:pStyle w:val="ListParagraph"/>
        <w:numPr>
          <w:ilvl w:val="1"/>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Qualification Documentation</w:t>
      </w:r>
    </w:p>
    <w:p w14:paraId="2AB49288" w14:textId="0CC0A952" w:rsidR="00CC7A30" w:rsidRPr="008E5998" w:rsidRDefault="00171775" w:rsidP="00CC7A30">
      <w:pPr>
        <w:pStyle w:val="ListParagraph"/>
        <w:numPr>
          <w:ilvl w:val="2"/>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Maintain records of the boundaries of the service area.  </w:t>
      </w:r>
    </w:p>
    <w:p w14:paraId="562C6F73" w14:textId="3314F942" w:rsidR="00171775" w:rsidRPr="008E5998" w:rsidRDefault="00171775" w:rsidP="00CC7A30">
      <w:pPr>
        <w:pStyle w:val="ListParagraph"/>
        <w:numPr>
          <w:ilvl w:val="2"/>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Document that the area is primarily residential (i.e., a zoning map). </w:t>
      </w:r>
    </w:p>
    <w:p w14:paraId="46AB1BE3" w14:textId="092C8149" w:rsidR="00171775" w:rsidRPr="008E5998" w:rsidRDefault="00171775" w:rsidP="00CC7A30">
      <w:pPr>
        <w:pStyle w:val="ListParagraph"/>
        <w:numPr>
          <w:ilvl w:val="2"/>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Document the income characteristics of households in the service area. </w:t>
      </w:r>
    </w:p>
    <w:p w14:paraId="0B688DF6" w14:textId="37ACA197" w:rsidR="00171775" w:rsidRPr="008E5998" w:rsidRDefault="00171775" w:rsidP="00171775">
      <w:pPr>
        <w:pStyle w:val="ListParagraph"/>
        <w:numPr>
          <w:ilvl w:val="0"/>
          <w:numId w:val="14"/>
        </w:numPr>
        <w:rPr>
          <w:rFonts w:ascii="Arial" w:eastAsia="Times New Roman" w:hAnsi="Arial" w:cs="Arial"/>
          <w:b/>
          <w:bCs/>
          <w:color w:val="000000" w:themeColor="text1"/>
          <w:sz w:val="24"/>
          <w:szCs w:val="24"/>
        </w:rPr>
      </w:pPr>
      <w:r w:rsidRPr="008E5998">
        <w:rPr>
          <w:rFonts w:ascii="Arial" w:eastAsia="Times New Roman" w:hAnsi="Arial" w:cs="Arial"/>
          <w:b/>
          <w:bCs/>
          <w:color w:val="000000" w:themeColor="text1"/>
          <w:sz w:val="24"/>
          <w:szCs w:val="24"/>
        </w:rPr>
        <w:t xml:space="preserve">LMI Limited Clientele </w:t>
      </w:r>
    </w:p>
    <w:p w14:paraId="36D327C6" w14:textId="77777777" w:rsidR="00425670" w:rsidRDefault="00171BE1" w:rsidP="00171BE1">
      <w:pPr>
        <w:pStyle w:val="ListParagraph"/>
        <w:numPr>
          <w:ilvl w:val="1"/>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lastRenderedPageBreak/>
        <w:t xml:space="preserve">Limited Clientele activities must benefit a specific targeted group of persons of which at least fifty-one percent (51%) must be LMI or serve </w:t>
      </w:r>
    </w:p>
    <w:p w14:paraId="4EA22D42" w14:textId="77777777" w:rsidR="00425670" w:rsidRDefault="00425670" w:rsidP="00425670">
      <w:pPr>
        <w:pStyle w:val="ListParagraph"/>
        <w:ind w:left="1440"/>
        <w:rPr>
          <w:rFonts w:ascii="Arial" w:eastAsia="Times New Roman" w:hAnsi="Arial" w:cs="Arial"/>
          <w:color w:val="000000" w:themeColor="text1"/>
          <w:sz w:val="24"/>
          <w:szCs w:val="24"/>
        </w:rPr>
      </w:pPr>
    </w:p>
    <w:p w14:paraId="74BFDF6A" w14:textId="5DA99ABD" w:rsidR="00171BE1" w:rsidRPr="008E5998" w:rsidRDefault="00171BE1" w:rsidP="00425670">
      <w:pPr>
        <w:pStyle w:val="ListParagraph"/>
        <w:ind w:left="1440"/>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persons meeting LMI requirements verified through income-eligibility evaluation as evidenced by the organization’s procedures, intake/application forms, income limits, and other sources of documentation.  </w:t>
      </w:r>
    </w:p>
    <w:p w14:paraId="478CFA0B" w14:textId="1BCCEE79" w:rsidR="00171BE1" w:rsidRPr="008E5998" w:rsidRDefault="00171BE1" w:rsidP="00171BE1">
      <w:pPr>
        <w:pStyle w:val="ListParagraph"/>
        <w:numPr>
          <w:ilvl w:val="1"/>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Activities benefiting groups of people presumed to be LMI such as abused children, battered spouses, elderly persons, severely disabled adults, homeless persons, illiterate adults, persons living with AIDS, and migrant farm workers are allowed under this national objective. CDBG grantees (and subrecipients) still must confirm that fifty-one percent (51%) of presumed benefit persons served with CDBG funds are LMI.  </w:t>
      </w:r>
    </w:p>
    <w:p w14:paraId="4C3729A2" w14:textId="2782C9C3" w:rsidR="003810FB" w:rsidRPr="008E5998" w:rsidRDefault="00D2287F" w:rsidP="001F44B8">
      <w:pPr>
        <w:pStyle w:val="ListParagraph"/>
        <w:numPr>
          <w:ilvl w:val="1"/>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 xml:space="preserve">Annual </w:t>
      </w:r>
      <w:r w:rsidR="003F6F87" w:rsidRPr="008E5998">
        <w:rPr>
          <w:rFonts w:ascii="Arial" w:eastAsia="Times New Roman" w:hAnsi="Arial" w:cs="Arial"/>
          <w:color w:val="000000" w:themeColor="text1"/>
          <w:sz w:val="24"/>
          <w:szCs w:val="24"/>
        </w:rPr>
        <w:t xml:space="preserve">household </w:t>
      </w:r>
      <w:r w:rsidRPr="008E5998">
        <w:rPr>
          <w:rFonts w:ascii="Arial" w:eastAsia="Times New Roman" w:hAnsi="Arial" w:cs="Arial"/>
          <w:color w:val="000000" w:themeColor="text1"/>
          <w:sz w:val="24"/>
          <w:szCs w:val="24"/>
        </w:rPr>
        <w:t>i</w:t>
      </w:r>
      <w:r w:rsidR="00171BE1" w:rsidRPr="008E5998">
        <w:rPr>
          <w:rFonts w:ascii="Arial" w:eastAsia="Times New Roman" w:hAnsi="Arial" w:cs="Arial"/>
          <w:color w:val="000000" w:themeColor="text1"/>
          <w:sz w:val="24"/>
          <w:szCs w:val="24"/>
        </w:rPr>
        <w:t>ncome for all program participants must be documented. </w:t>
      </w:r>
    </w:p>
    <w:p w14:paraId="0A2F6E5D" w14:textId="3C80095D" w:rsidR="008F243F" w:rsidRPr="008E5998" w:rsidRDefault="00573C33" w:rsidP="008F243F">
      <w:pPr>
        <w:pStyle w:val="ListParagraph"/>
        <w:numPr>
          <w:ilvl w:val="0"/>
          <w:numId w:val="14"/>
        </w:numPr>
        <w:rPr>
          <w:rFonts w:ascii="Arial" w:eastAsia="Times New Roman" w:hAnsi="Arial" w:cs="Arial"/>
          <w:b/>
          <w:bCs/>
          <w:color w:val="000000" w:themeColor="text1"/>
          <w:sz w:val="24"/>
          <w:szCs w:val="24"/>
        </w:rPr>
      </w:pPr>
      <w:r w:rsidRPr="008E5998">
        <w:rPr>
          <w:rFonts w:ascii="Arial" w:eastAsia="Times New Roman" w:hAnsi="Arial" w:cs="Arial"/>
          <w:b/>
          <w:bCs/>
          <w:color w:val="000000" w:themeColor="text1"/>
          <w:sz w:val="24"/>
          <w:szCs w:val="24"/>
        </w:rPr>
        <w:t xml:space="preserve">LMI </w:t>
      </w:r>
      <w:r w:rsidR="008F243F" w:rsidRPr="008E5998">
        <w:rPr>
          <w:rFonts w:ascii="Arial" w:eastAsia="Times New Roman" w:hAnsi="Arial" w:cs="Arial"/>
          <w:b/>
          <w:bCs/>
          <w:color w:val="000000" w:themeColor="text1"/>
          <w:sz w:val="24"/>
          <w:szCs w:val="24"/>
        </w:rPr>
        <w:t xml:space="preserve">Job Creation and Retention Activities </w:t>
      </w:r>
    </w:p>
    <w:p w14:paraId="6C5CFA1B" w14:textId="0163AF8D" w:rsidR="008F243F" w:rsidRPr="008E5998" w:rsidRDefault="001C0CBC" w:rsidP="008F243F">
      <w:pPr>
        <w:pStyle w:val="ListParagraph"/>
        <w:numPr>
          <w:ilvl w:val="1"/>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 xml:space="preserve">An activity designed to create or retain permanent jobs where at least </w:t>
      </w:r>
      <w:r w:rsidR="007D565B" w:rsidRPr="008E5998">
        <w:rPr>
          <w:rFonts w:ascii="Arial" w:eastAsia="Times New Roman" w:hAnsi="Arial" w:cs="Arial"/>
          <w:color w:val="000000" w:themeColor="text1"/>
          <w:sz w:val="24"/>
          <w:szCs w:val="24"/>
        </w:rPr>
        <w:t>fifty-one</w:t>
      </w:r>
      <w:r w:rsidRPr="008E5998">
        <w:rPr>
          <w:rFonts w:ascii="Arial" w:eastAsia="Times New Roman" w:hAnsi="Arial" w:cs="Arial"/>
          <w:color w:val="000000" w:themeColor="text1"/>
          <w:sz w:val="24"/>
          <w:szCs w:val="24"/>
        </w:rPr>
        <w:t xml:space="preserve"> percent</w:t>
      </w:r>
      <w:r w:rsidR="007D565B" w:rsidRPr="008E5998">
        <w:rPr>
          <w:rFonts w:ascii="Arial" w:eastAsia="Times New Roman" w:hAnsi="Arial" w:cs="Arial"/>
          <w:color w:val="000000" w:themeColor="text1"/>
          <w:sz w:val="24"/>
          <w:szCs w:val="24"/>
        </w:rPr>
        <w:t xml:space="preserve"> (51%)</w:t>
      </w:r>
      <w:r w:rsidRPr="008E5998">
        <w:rPr>
          <w:rFonts w:ascii="Arial" w:eastAsia="Times New Roman" w:hAnsi="Arial" w:cs="Arial"/>
          <w:color w:val="000000" w:themeColor="text1"/>
          <w:sz w:val="24"/>
          <w:szCs w:val="24"/>
        </w:rPr>
        <w:t xml:space="preserve"> of the jobs, computed on a </w:t>
      </w:r>
      <w:r w:rsidR="009F4D0F" w:rsidRPr="008E5998">
        <w:rPr>
          <w:rFonts w:ascii="Arial" w:eastAsia="Times New Roman" w:hAnsi="Arial" w:cs="Arial"/>
          <w:color w:val="000000" w:themeColor="text1"/>
          <w:sz w:val="24"/>
          <w:szCs w:val="24"/>
        </w:rPr>
        <w:t>full-time</w:t>
      </w:r>
      <w:r w:rsidRPr="008E5998">
        <w:rPr>
          <w:rFonts w:ascii="Arial" w:eastAsia="Times New Roman" w:hAnsi="Arial" w:cs="Arial"/>
          <w:color w:val="000000" w:themeColor="text1"/>
          <w:sz w:val="24"/>
          <w:szCs w:val="24"/>
        </w:rPr>
        <w:t xml:space="preserve"> equivalent </w:t>
      </w:r>
      <w:r w:rsidR="006A1796" w:rsidRPr="008E5998">
        <w:rPr>
          <w:rFonts w:ascii="Arial" w:eastAsia="Times New Roman" w:hAnsi="Arial" w:cs="Arial"/>
          <w:color w:val="000000" w:themeColor="text1"/>
          <w:sz w:val="24"/>
          <w:szCs w:val="24"/>
        </w:rPr>
        <w:t xml:space="preserve">(FTE) </w:t>
      </w:r>
      <w:r w:rsidRPr="008E5998">
        <w:rPr>
          <w:rFonts w:ascii="Arial" w:eastAsia="Times New Roman" w:hAnsi="Arial" w:cs="Arial"/>
          <w:color w:val="000000" w:themeColor="text1"/>
          <w:sz w:val="24"/>
          <w:szCs w:val="24"/>
        </w:rPr>
        <w:t>basis, involve the employment of low-to-moderate income persons.</w:t>
      </w:r>
    </w:p>
    <w:p w14:paraId="4EE9DA0C" w14:textId="72580CA6" w:rsidR="009F4D0F" w:rsidRPr="008E5998" w:rsidRDefault="009F4D0F" w:rsidP="009F4D0F">
      <w:pPr>
        <w:pStyle w:val="ListParagraph"/>
        <w:numPr>
          <w:ilvl w:val="2"/>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If the CDBG cost per job created or retained is less than $1</w:t>
      </w:r>
      <w:r w:rsidR="006A1796" w:rsidRPr="008E5998">
        <w:rPr>
          <w:rFonts w:ascii="Arial" w:eastAsia="Times New Roman" w:hAnsi="Arial" w:cs="Arial"/>
          <w:color w:val="000000" w:themeColor="text1"/>
          <w:sz w:val="24"/>
          <w:szCs w:val="24"/>
        </w:rPr>
        <w:t>0,000 per FTE, the grantee (and subrecipient) must ensure that fifty-one percent (51%)</w:t>
      </w:r>
      <w:r w:rsidR="001869D1" w:rsidRPr="008E5998">
        <w:rPr>
          <w:rFonts w:ascii="Arial" w:eastAsia="Times New Roman" w:hAnsi="Arial" w:cs="Arial"/>
          <w:color w:val="000000" w:themeColor="text1"/>
          <w:sz w:val="24"/>
          <w:szCs w:val="24"/>
        </w:rPr>
        <w:t xml:space="preserve"> of the jobs created or retained by the businesses for which the facility/improvement </w:t>
      </w:r>
      <w:r w:rsidR="00110303" w:rsidRPr="008E5998">
        <w:rPr>
          <w:rFonts w:ascii="Arial" w:eastAsia="Times New Roman" w:hAnsi="Arial" w:cs="Arial"/>
          <w:color w:val="000000" w:themeColor="text1"/>
          <w:sz w:val="24"/>
          <w:szCs w:val="24"/>
        </w:rPr>
        <w:t xml:space="preserve">is principally undertaken are available to or held by LMI persons. </w:t>
      </w:r>
    </w:p>
    <w:p w14:paraId="245C6D6E" w14:textId="6F8C2252" w:rsidR="003810FB" w:rsidRPr="008E5998" w:rsidRDefault="00110303" w:rsidP="00417742">
      <w:pPr>
        <w:pStyle w:val="ListParagraph"/>
        <w:numPr>
          <w:ilvl w:val="2"/>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If the CDBG cost per job created or retained is $10,000</w:t>
      </w:r>
      <w:r w:rsidR="00821E77" w:rsidRPr="008E5998">
        <w:rPr>
          <w:rFonts w:ascii="Arial" w:eastAsia="Times New Roman" w:hAnsi="Arial" w:cs="Arial"/>
          <w:color w:val="000000" w:themeColor="text1"/>
          <w:sz w:val="24"/>
          <w:szCs w:val="24"/>
        </w:rPr>
        <w:t xml:space="preserve"> or more per FTE, the grantee (and subrecipient) must ensure that fifty-one percent (51%)</w:t>
      </w:r>
      <w:r w:rsidR="002868E7" w:rsidRPr="008E5998">
        <w:rPr>
          <w:rFonts w:ascii="Arial" w:eastAsia="Times New Roman" w:hAnsi="Arial" w:cs="Arial"/>
          <w:color w:val="000000" w:themeColor="text1"/>
          <w:sz w:val="24"/>
          <w:szCs w:val="24"/>
        </w:rPr>
        <w:t xml:space="preserve"> of the jobs created </w:t>
      </w:r>
      <w:r w:rsidR="006A61D3" w:rsidRPr="008E5998">
        <w:rPr>
          <w:rFonts w:ascii="Arial" w:eastAsia="Times New Roman" w:hAnsi="Arial" w:cs="Arial"/>
          <w:color w:val="000000" w:themeColor="text1"/>
          <w:sz w:val="24"/>
          <w:szCs w:val="24"/>
        </w:rPr>
        <w:t xml:space="preserve">or retained by all businesses in the service area of the facility/improvement are available to or held by LMI persons. </w:t>
      </w:r>
      <w:r w:rsidR="009141F2" w:rsidRPr="008E5998">
        <w:rPr>
          <w:rFonts w:ascii="Arial" w:eastAsia="Times New Roman" w:hAnsi="Arial" w:cs="Arial"/>
          <w:color w:val="000000" w:themeColor="text1"/>
          <w:sz w:val="24"/>
          <w:szCs w:val="24"/>
        </w:rPr>
        <w:t xml:space="preserve">This includes all businesses, which as a result of the public facility/improvement, locate or expand in the service area between the date the activity is identified in the </w:t>
      </w:r>
      <w:r w:rsidR="00E90910" w:rsidRPr="008E5998">
        <w:rPr>
          <w:rFonts w:ascii="Arial" w:eastAsia="Times New Roman" w:hAnsi="Arial" w:cs="Arial"/>
          <w:color w:val="000000" w:themeColor="text1"/>
          <w:sz w:val="24"/>
          <w:szCs w:val="24"/>
        </w:rPr>
        <w:t xml:space="preserve">action plan and one year after completion of the facility/improvement. In addition, the assisted activity must comply with the public benefit standards found at </w:t>
      </w:r>
      <w:hyperlink r:id="rId17" w:history="1">
        <w:r w:rsidR="00E90910" w:rsidRPr="008E5998">
          <w:rPr>
            <w:rStyle w:val="Hyperlink"/>
            <w:rFonts w:ascii="Arial" w:eastAsia="Times New Roman" w:hAnsi="Arial" w:cs="Arial"/>
            <w:sz w:val="24"/>
            <w:szCs w:val="24"/>
          </w:rPr>
          <w:t>24 CFR 570.209(b)</w:t>
        </w:r>
      </w:hyperlink>
      <w:r w:rsidR="00E90910" w:rsidRPr="008E5998">
        <w:rPr>
          <w:rFonts w:ascii="Arial" w:eastAsia="Times New Roman" w:hAnsi="Arial" w:cs="Arial"/>
          <w:color w:val="000000" w:themeColor="text1"/>
          <w:sz w:val="24"/>
          <w:szCs w:val="24"/>
        </w:rPr>
        <w:t xml:space="preserve">. </w:t>
      </w:r>
    </w:p>
    <w:p w14:paraId="264AC4C9" w14:textId="76A3946F" w:rsidR="00210BCE" w:rsidRPr="008E5998" w:rsidRDefault="00210BCE" w:rsidP="00417742">
      <w:pPr>
        <w:pStyle w:val="ListParagraph"/>
        <w:numPr>
          <w:ilvl w:val="2"/>
          <w:numId w:val="14"/>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 xml:space="preserve">If the public facility serves a primarily </w:t>
      </w:r>
      <w:r w:rsidR="006233AD" w:rsidRPr="008E5998">
        <w:rPr>
          <w:rFonts w:ascii="Arial" w:eastAsia="Times New Roman" w:hAnsi="Arial" w:cs="Arial"/>
          <w:color w:val="000000" w:themeColor="text1"/>
          <w:sz w:val="24"/>
          <w:szCs w:val="24"/>
        </w:rPr>
        <w:t>residential area, it must meet the area benefit criteria even if it</w:t>
      </w:r>
      <w:r w:rsidR="00CF5A7B" w:rsidRPr="008E5998">
        <w:rPr>
          <w:rFonts w:ascii="Arial" w:eastAsia="Times New Roman" w:hAnsi="Arial" w:cs="Arial"/>
          <w:color w:val="000000" w:themeColor="text1"/>
          <w:sz w:val="24"/>
          <w:szCs w:val="24"/>
        </w:rPr>
        <w:t xml:space="preserve"> </w:t>
      </w:r>
      <w:r w:rsidR="009B00D7" w:rsidRPr="008E5998">
        <w:rPr>
          <w:rFonts w:ascii="Arial" w:eastAsia="Times New Roman" w:hAnsi="Arial" w:cs="Arial"/>
          <w:color w:val="000000" w:themeColor="text1"/>
          <w:sz w:val="24"/>
          <w:szCs w:val="24"/>
        </w:rPr>
        <w:t xml:space="preserve">is also providing low-to-moderate income jobs. </w:t>
      </w:r>
    </w:p>
    <w:p w14:paraId="3776A04D" w14:textId="18440AC2" w:rsidR="007B6268" w:rsidRPr="008E5998" w:rsidRDefault="00941F7A" w:rsidP="007B6268">
      <w:p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Eligible activities include, but are not limited to, the following projects</w:t>
      </w:r>
      <w:r w:rsidR="00681EED" w:rsidRPr="008E5998">
        <w:rPr>
          <w:rFonts w:ascii="Arial" w:eastAsia="Times New Roman" w:hAnsi="Arial" w:cs="Arial"/>
          <w:color w:val="000000" w:themeColor="text1"/>
          <w:sz w:val="24"/>
          <w:szCs w:val="24"/>
        </w:rPr>
        <w:t xml:space="preserve">. </w:t>
      </w:r>
      <w:r w:rsidR="00302F53" w:rsidRPr="008E5998">
        <w:rPr>
          <w:rFonts w:ascii="Arial" w:eastAsia="Times New Roman" w:hAnsi="Arial" w:cs="Arial"/>
          <w:color w:val="000000" w:themeColor="text1"/>
          <w:sz w:val="24"/>
          <w:szCs w:val="24"/>
        </w:rPr>
        <w:t xml:space="preserve">Please see </w:t>
      </w:r>
      <w:hyperlink r:id="rId18" w:history="1">
        <w:r w:rsidR="00302F53" w:rsidRPr="008E5998">
          <w:rPr>
            <w:rStyle w:val="Hyperlink"/>
            <w:rFonts w:ascii="Arial" w:eastAsia="Times New Roman" w:hAnsi="Arial" w:cs="Arial"/>
            <w:sz w:val="24"/>
            <w:szCs w:val="24"/>
          </w:rPr>
          <w:t>24 CFR Part 570.201</w:t>
        </w:r>
      </w:hyperlink>
      <w:r w:rsidR="00302F53" w:rsidRPr="008E5998">
        <w:rPr>
          <w:rFonts w:ascii="Arial" w:eastAsia="Times New Roman" w:hAnsi="Arial" w:cs="Arial"/>
          <w:color w:val="000000" w:themeColor="text1"/>
          <w:sz w:val="24"/>
          <w:szCs w:val="24"/>
        </w:rPr>
        <w:t xml:space="preserve"> for more information on eligible CDBG public service activities.</w:t>
      </w:r>
      <w:r w:rsidR="00AC45E3" w:rsidRPr="008E5998">
        <w:rPr>
          <w:rFonts w:ascii="Arial" w:hAnsi="Arial" w:cs="Arial"/>
          <w:sz w:val="24"/>
          <w:szCs w:val="24"/>
        </w:rPr>
        <w:t xml:space="preserve"> </w:t>
      </w:r>
      <w:r w:rsidR="00AC45E3" w:rsidRPr="008E5998">
        <w:rPr>
          <w:rFonts w:ascii="Arial" w:eastAsia="Times New Roman" w:hAnsi="Arial" w:cs="Arial"/>
          <w:color w:val="000000" w:themeColor="text1"/>
          <w:sz w:val="24"/>
          <w:szCs w:val="24"/>
        </w:rPr>
        <w:t xml:space="preserve">Eligible housing activities are outlined in </w:t>
      </w:r>
      <w:hyperlink r:id="rId19" w:history="1">
        <w:r w:rsidR="00AC45E3" w:rsidRPr="008E5998">
          <w:rPr>
            <w:rStyle w:val="Hyperlink"/>
            <w:rFonts w:ascii="Arial" w:eastAsia="Times New Roman" w:hAnsi="Arial" w:cs="Arial"/>
            <w:sz w:val="24"/>
            <w:szCs w:val="24"/>
          </w:rPr>
          <w:t>24 CFR 570.202</w:t>
        </w:r>
      </w:hyperlink>
      <w:r w:rsidR="00725161" w:rsidRPr="008E5998">
        <w:rPr>
          <w:rFonts w:ascii="Arial" w:eastAsia="Times New Roman" w:hAnsi="Arial" w:cs="Arial"/>
          <w:color w:val="000000" w:themeColor="text1"/>
          <w:sz w:val="24"/>
          <w:szCs w:val="24"/>
        </w:rPr>
        <w:t xml:space="preserve">. </w:t>
      </w:r>
      <w:r w:rsidR="00725161" w:rsidRPr="008E5998">
        <w:rPr>
          <w:rFonts w:ascii="Arial" w:hAnsi="Arial" w:cs="Arial"/>
          <w:sz w:val="24"/>
          <w:szCs w:val="24"/>
        </w:rPr>
        <w:t xml:space="preserve">Program administration activities that are eligible are outlined in </w:t>
      </w:r>
      <w:hyperlink r:id="rId20" w:history="1">
        <w:r w:rsidR="00725161" w:rsidRPr="008E5998">
          <w:rPr>
            <w:rStyle w:val="Hyperlink"/>
            <w:rFonts w:ascii="Arial" w:hAnsi="Arial" w:cs="Arial"/>
            <w:sz w:val="24"/>
            <w:szCs w:val="24"/>
          </w:rPr>
          <w:t>24 CFR 570.206</w:t>
        </w:r>
      </w:hyperlink>
      <w:r w:rsidR="00725161" w:rsidRPr="008E5998">
        <w:rPr>
          <w:rStyle w:val="Hyperlink"/>
          <w:rFonts w:ascii="Arial" w:hAnsi="Arial" w:cs="Arial"/>
          <w:sz w:val="24"/>
          <w:szCs w:val="24"/>
        </w:rPr>
        <w:t>.</w:t>
      </w:r>
    </w:p>
    <w:p w14:paraId="21E7E12D" w14:textId="77777777" w:rsidR="00425670" w:rsidRDefault="00425670" w:rsidP="00425670">
      <w:pPr>
        <w:pStyle w:val="ListParagraph"/>
        <w:rPr>
          <w:rFonts w:ascii="Arial" w:eastAsia="Times New Roman" w:hAnsi="Arial" w:cs="Arial"/>
          <w:color w:val="000000" w:themeColor="text1"/>
          <w:sz w:val="24"/>
          <w:szCs w:val="24"/>
        </w:rPr>
      </w:pPr>
    </w:p>
    <w:p w14:paraId="35E5E96D" w14:textId="2989AE13" w:rsidR="00165DCB" w:rsidRPr="008E5998" w:rsidRDefault="00BA57CF" w:rsidP="00165DCB">
      <w:pPr>
        <w:pStyle w:val="ListParagraph"/>
        <w:numPr>
          <w:ilvl w:val="0"/>
          <w:numId w:val="15"/>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Infrastructure improvements</w:t>
      </w:r>
      <w:r w:rsidR="00F73F71" w:rsidRPr="008E5998">
        <w:rPr>
          <w:rFonts w:ascii="Arial" w:eastAsia="Times New Roman" w:hAnsi="Arial" w:cs="Arial"/>
          <w:color w:val="000000" w:themeColor="text1"/>
          <w:sz w:val="24"/>
          <w:szCs w:val="24"/>
        </w:rPr>
        <w:t xml:space="preserve"> (construction or installation) including, but not limited to streets, curbs, and water and sewer lines. </w:t>
      </w:r>
    </w:p>
    <w:p w14:paraId="055A48DB" w14:textId="6CC09D41" w:rsidR="005A1EC3" w:rsidRPr="008E5998" w:rsidRDefault="00071DBF" w:rsidP="00165DCB">
      <w:pPr>
        <w:pStyle w:val="ListParagraph"/>
        <w:numPr>
          <w:ilvl w:val="0"/>
          <w:numId w:val="15"/>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Improvements to n</w:t>
      </w:r>
      <w:r w:rsidR="00F73F71" w:rsidRPr="008E5998">
        <w:rPr>
          <w:rFonts w:ascii="Arial" w:eastAsia="Times New Roman" w:hAnsi="Arial" w:cs="Arial"/>
          <w:color w:val="000000" w:themeColor="text1"/>
          <w:sz w:val="24"/>
          <w:szCs w:val="24"/>
        </w:rPr>
        <w:t xml:space="preserve">eighborhood facilities including, but not limited to public schools, libraries, </w:t>
      </w:r>
      <w:r w:rsidR="005A1EC3" w:rsidRPr="008E5998">
        <w:rPr>
          <w:rFonts w:ascii="Arial" w:eastAsia="Times New Roman" w:hAnsi="Arial" w:cs="Arial"/>
          <w:color w:val="000000" w:themeColor="text1"/>
          <w:sz w:val="24"/>
          <w:szCs w:val="24"/>
        </w:rPr>
        <w:t>recreational</w:t>
      </w:r>
      <w:r w:rsidR="00F73F71" w:rsidRPr="008E5998">
        <w:rPr>
          <w:rFonts w:ascii="Arial" w:eastAsia="Times New Roman" w:hAnsi="Arial" w:cs="Arial"/>
          <w:color w:val="000000" w:themeColor="text1"/>
          <w:sz w:val="24"/>
          <w:szCs w:val="24"/>
        </w:rPr>
        <w:t xml:space="preserve"> facilities, </w:t>
      </w:r>
      <w:r w:rsidR="005A1EC3" w:rsidRPr="008E5998">
        <w:rPr>
          <w:rFonts w:ascii="Arial" w:eastAsia="Times New Roman" w:hAnsi="Arial" w:cs="Arial"/>
          <w:color w:val="000000" w:themeColor="text1"/>
          <w:sz w:val="24"/>
          <w:szCs w:val="24"/>
        </w:rPr>
        <w:t>parks, and playgrounds.</w:t>
      </w:r>
    </w:p>
    <w:p w14:paraId="47F787DD" w14:textId="5E3FDC50" w:rsidR="00F73F71" w:rsidRPr="008E5998" w:rsidRDefault="00071DBF" w:rsidP="00165DCB">
      <w:pPr>
        <w:pStyle w:val="ListParagraph"/>
        <w:numPr>
          <w:ilvl w:val="0"/>
          <w:numId w:val="15"/>
        </w:numPr>
        <w:rPr>
          <w:rFonts w:ascii="Arial" w:eastAsia="Times New Roman" w:hAnsi="Arial" w:cs="Arial"/>
          <w:color w:val="000000" w:themeColor="text1"/>
          <w:sz w:val="24"/>
          <w:szCs w:val="24"/>
        </w:rPr>
      </w:pPr>
      <w:r w:rsidRPr="008E5998">
        <w:rPr>
          <w:rFonts w:ascii="Arial" w:eastAsia="Times New Roman" w:hAnsi="Arial" w:cs="Arial"/>
          <w:color w:val="000000" w:themeColor="text1"/>
          <w:sz w:val="24"/>
          <w:szCs w:val="24"/>
        </w:rPr>
        <w:t>Improvements to f</w:t>
      </w:r>
      <w:r w:rsidR="005A1EC3" w:rsidRPr="008E5998">
        <w:rPr>
          <w:rFonts w:ascii="Arial" w:eastAsia="Times New Roman" w:hAnsi="Arial" w:cs="Arial"/>
          <w:color w:val="000000" w:themeColor="text1"/>
          <w:sz w:val="24"/>
          <w:szCs w:val="24"/>
        </w:rPr>
        <w:t xml:space="preserve">acilities for persons with special needs such as facilities for the homeless or domestic violence </w:t>
      </w:r>
      <w:r w:rsidR="00982E8E" w:rsidRPr="008E5998">
        <w:rPr>
          <w:rFonts w:ascii="Arial" w:eastAsia="Times New Roman" w:hAnsi="Arial" w:cs="Arial"/>
          <w:color w:val="000000" w:themeColor="text1"/>
          <w:sz w:val="24"/>
          <w:szCs w:val="24"/>
        </w:rPr>
        <w:t>shelters</w:t>
      </w:r>
      <w:r w:rsidR="005A1EC3" w:rsidRPr="008E5998">
        <w:rPr>
          <w:rFonts w:ascii="Arial" w:eastAsia="Times New Roman" w:hAnsi="Arial" w:cs="Arial"/>
          <w:color w:val="000000" w:themeColor="text1"/>
          <w:sz w:val="24"/>
          <w:szCs w:val="24"/>
        </w:rPr>
        <w:t>,</w:t>
      </w:r>
      <w:r w:rsidR="00982E8E" w:rsidRPr="008E5998">
        <w:rPr>
          <w:rFonts w:ascii="Arial" w:eastAsia="Times New Roman" w:hAnsi="Arial" w:cs="Arial"/>
          <w:color w:val="000000" w:themeColor="text1"/>
          <w:sz w:val="24"/>
          <w:szCs w:val="24"/>
        </w:rPr>
        <w:t xml:space="preserve"> nursing homes, or group homes for the disabled. </w:t>
      </w:r>
      <w:r w:rsidR="005A1EC3" w:rsidRPr="008E5998">
        <w:rPr>
          <w:rFonts w:ascii="Arial" w:eastAsia="Times New Roman" w:hAnsi="Arial" w:cs="Arial"/>
          <w:color w:val="000000" w:themeColor="text1"/>
          <w:sz w:val="24"/>
          <w:szCs w:val="24"/>
        </w:rPr>
        <w:t xml:space="preserve"> </w:t>
      </w:r>
    </w:p>
    <w:p w14:paraId="5CF08768" w14:textId="254B53ED" w:rsidR="007B6268" w:rsidRPr="008E5998" w:rsidRDefault="00D31282" w:rsidP="00941F7A">
      <w:pPr>
        <w:pStyle w:val="ListParagraph"/>
        <w:numPr>
          <w:ilvl w:val="0"/>
          <w:numId w:val="15"/>
        </w:numPr>
        <w:rPr>
          <w:rFonts w:ascii="Arial" w:eastAsiaTheme="minorEastAsia" w:hAnsi="Arial" w:cs="Arial"/>
          <w:color w:val="000000" w:themeColor="text1"/>
          <w:sz w:val="24"/>
          <w:szCs w:val="24"/>
        </w:rPr>
      </w:pPr>
      <w:r w:rsidRPr="008E5998">
        <w:rPr>
          <w:rFonts w:ascii="Arial" w:eastAsia="Times New Roman" w:hAnsi="Arial" w:cs="Arial"/>
          <w:color w:val="000000" w:themeColor="text1"/>
          <w:sz w:val="24"/>
          <w:szCs w:val="24"/>
        </w:rPr>
        <w:t xml:space="preserve">Housing rehabilitation projects for special populations. </w:t>
      </w:r>
    </w:p>
    <w:p w14:paraId="12878E08" w14:textId="619A9683" w:rsidR="007B6268" w:rsidRPr="008E5998" w:rsidRDefault="00D31282" w:rsidP="00941F7A">
      <w:pPr>
        <w:pStyle w:val="ListParagraph"/>
        <w:numPr>
          <w:ilvl w:val="0"/>
          <w:numId w:val="15"/>
        </w:numPr>
        <w:rPr>
          <w:rFonts w:ascii="Arial" w:hAnsi="Arial" w:cs="Arial"/>
          <w:color w:val="000000" w:themeColor="text1"/>
          <w:sz w:val="24"/>
          <w:szCs w:val="24"/>
        </w:rPr>
      </w:pPr>
      <w:r w:rsidRPr="008E5998">
        <w:rPr>
          <w:rFonts w:ascii="Arial" w:eastAsia="Times New Roman" w:hAnsi="Arial" w:cs="Arial"/>
          <w:color w:val="000000" w:themeColor="text1"/>
          <w:sz w:val="24"/>
          <w:szCs w:val="24"/>
        </w:rPr>
        <w:t xml:space="preserve">Facility rehabilitation for a non-profit owned building open to the public. </w:t>
      </w:r>
    </w:p>
    <w:p w14:paraId="6B739DDD" w14:textId="48F1BCF0" w:rsidR="00B60F32" w:rsidRPr="008E5998" w:rsidRDefault="00862266" w:rsidP="00862266">
      <w:pPr>
        <w:rPr>
          <w:rFonts w:ascii="Arial" w:hAnsi="Arial" w:cs="Arial"/>
          <w:color w:val="000000" w:themeColor="text1"/>
          <w:sz w:val="24"/>
          <w:szCs w:val="24"/>
        </w:rPr>
      </w:pPr>
      <w:r w:rsidRPr="008E5998">
        <w:rPr>
          <w:rFonts w:ascii="Arial" w:hAnsi="Arial" w:cs="Arial"/>
          <w:color w:val="000000" w:themeColor="text1"/>
          <w:sz w:val="24"/>
          <w:szCs w:val="24"/>
        </w:rPr>
        <w:t xml:space="preserve">Ineligible </w:t>
      </w:r>
      <w:r w:rsidR="00C03FB9" w:rsidRPr="008E5998">
        <w:rPr>
          <w:rFonts w:ascii="Arial" w:hAnsi="Arial" w:cs="Arial"/>
          <w:color w:val="000000" w:themeColor="text1"/>
          <w:sz w:val="24"/>
          <w:szCs w:val="24"/>
        </w:rPr>
        <w:t>activities include, but are not limited to</w:t>
      </w:r>
      <w:r w:rsidR="00690D77" w:rsidRPr="008E5998">
        <w:rPr>
          <w:rFonts w:ascii="Arial" w:hAnsi="Arial" w:cs="Arial"/>
          <w:color w:val="000000" w:themeColor="text1"/>
          <w:sz w:val="24"/>
          <w:szCs w:val="24"/>
        </w:rPr>
        <w:t xml:space="preserve">, the following projects. Please see </w:t>
      </w:r>
      <w:hyperlink r:id="rId21" w:history="1">
        <w:r w:rsidR="00690D77" w:rsidRPr="008E5998">
          <w:rPr>
            <w:rStyle w:val="Hyperlink"/>
            <w:rFonts w:ascii="Arial" w:hAnsi="Arial" w:cs="Arial"/>
            <w:sz w:val="24"/>
            <w:szCs w:val="24"/>
          </w:rPr>
          <w:t>24 CFR 570.207</w:t>
        </w:r>
      </w:hyperlink>
      <w:r w:rsidR="00690D77" w:rsidRPr="008E5998">
        <w:rPr>
          <w:rFonts w:ascii="Arial" w:hAnsi="Arial" w:cs="Arial"/>
          <w:color w:val="000000" w:themeColor="text1"/>
          <w:sz w:val="24"/>
          <w:szCs w:val="24"/>
        </w:rPr>
        <w:t xml:space="preserve"> for additional information regarding ineligible activities in the CDBG program.</w:t>
      </w:r>
    </w:p>
    <w:p w14:paraId="6390C6E5" w14:textId="6D7BEA1D" w:rsidR="00862266" w:rsidRPr="008E5998" w:rsidRDefault="008E4D3B" w:rsidP="00B60F32">
      <w:pPr>
        <w:pStyle w:val="ListParagraph"/>
        <w:numPr>
          <w:ilvl w:val="0"/>
          <w:numId w:val="16"/>
        </w:numPr>
        <w:rPr>
          <w:rFonts w:ascii="Arial" w:hAnsi="Arial" w:cs="Arial"/>
          <w:color w:val="000000" w:themeColor="text1"/>
          <w:sz w:val="24"/>
          <w:szCs w:val="24"/>
        </w:rPr>
      </w:pPr>
      <w:r w:rsidRPr="008E5998">
        <w:rPr>
          <w:rFonts w:ascii="Arial" w:hAnsi="Arial" w:cs="Arial"/>
          <w:color w:val="000000" w:themeColor="text1"/>
          <w:sz w:val="24"/>
          <w:szCs w:val="24"/>
        </w:rPr>
        <w:t xml:space="preserve">The </w:t>
      </w:r>
      <w:r w:rsidR="008012FC" w:rsidRPr="008E5998">
        <w:rPr>
          <w:rFonts w:ascii="Arial" w:hAnsi="Arial" w:cs="Arial"/>
          <w:color w:val="000000" w:themeColor="text1"/>
          <w:sz w:val="24"/>
          <w:szCs w:val="24"/>
        </w:rPr>
        <w:t>maintenance</w:t>
      </w:r>
      <w:r w:rsidRPr="008E5998">
        <w:rPr>
          <w:rFonts w:ascii="Arial" w:hAnsi="Arial" w:cs="Arial"/>
          <w:color w:val="000000" w:themeColor="text1"/>
          <w:sz w:val="24"/>
          <w:szCs w:val="24"/>
        </w:rPr>
        <w:t xml:space="preserve"> and repair </w:t>
      </w:r>
      <w:r w:rsidR="00D40058" w:rsidRPr="008E5998">
        <w:rPr>
          <w:rFonts w:ascii="Arial" w:hAnsi="Arial" w:cs="Arial"/>
          <w:color w:val="000000" w:themeColor="text1"/>
          <w:sz w:val="24"/>
          <w:szCs w:val="24"/>
        </w:rPr>
        <w:t>of public facilities and improvement</w:t>
      </w:r>
      <w:r w:rsidR="00615CEA" w:rsidRPr="008E5998">
        <w:rPr>
          <w:rFonts w:ascii="Arial" w:hAnsi="Arial" w:cs="Arial"/>
          <w:color w:val="000000" w:themeColor="text1"/>
          <w:sz w:val="24"/>
          <w:szCs w:val="24"/>
        </w:rPr>
        <w:t>s</w:t>
      </w:r>
      <w:r w:rsidR="00D40058" w:rsidRPr="008E5998">
        <w:rPr>
          <w:rFonts w:ascii="Arial" w:hAnsi="Arial" w:cs="Arial"/>
          <w:color w:val="000000" w:themeColor="text1"/>
          <w:sz w:val="24"/>
          <w:szCs w:val="24"/>
        </w:rPr>
        <w:t xml:space="preserve"> is generally ineligible (i.e., filling potholes, repairing cracks in sidewalks, mowing grass at public recreational areas, or replacing street light bulbs</w:t>
      </w:r>
      <w:r w:rsidR="008012FC" w:rsidRPr="008E5998">
        <w:rPr>
          <w:rFonts w:ascii="Arial" w:hAnsi="Arial" w:cs="Arial"/>
          <w:color w:val="000000" w:themeColor="text1"/>
          <w:sz w:val="24"/>
          <w:szCs w:val="24"/>
        </w:rPr>
        <w:t xml:space="preserve">). </w:t>
      </w:r>
    </w:p>
    <w:p w14:paraId="45AC327F" w14:textId="677598FA" w:rsidR="008012FC" w:rsidRPr="008E5998" w:rsidRDefault="008012FC" w:rsidP="00B60F32">
      <w:pPr>
        <w:pStyle w:val="ListParagraph"/>
        <w:numPr>
          <w:ilvl w:val="0"/>
          <w:numId w:val="16"/>
        </w:numPr>
        <w:rPr>
          <w:rFonts w:ascii="Arial" w:hAnsi="Arial" w:cs="Arial"/>
          <w:color w:val="000000" w:themeColor="text1"/>
          <w:sz w:val="24"/>
          <w:szCs w:val="24"/>
        </w:rPr>
      </w:pPr>
      <w:r w:rsidRPr="008E5998">
        <w:rPr>
          <w:rFonts w:ascii="Arial" w:hAnsi="Arial" w:cs="Arial"/>
          <w:color w:val="000000" w:themeColor="text1"/>
          <w:sz w:val="24"/>
          <w:szCs w:val="24"/>
        </w:rPr>
        <w:t xml:space="preserve">Operating costs associated with public facilities </w:t>
      </w:r>
      <w:r w:rsidR="00777A3A" w:rsidRPr="008E5998">
        <w:rPr>
          <w:rFonts w:ascii="Arial" w:hAnsi="Arial" w:cs="Arial"/>
          <w:color w:val="000000" w:themeColor="text1"/>
          <w:sz w:val="24"/>
          <w:szCs w:val="24"/>
        </w:rPr>
        <w:t xml:space="preserve">or improvements are ineligible unless part of a CDBG-assisted public service activity or eligible as an interim assistance activity. </w:t>
      </w:r>
    </w:p>
    <w:p w14:paraId="257A989F" w14:textId="36F1B852" w:rsidR="00777A3A" w:rsidRPr="008E5998" w:rsidRDefault="001E3876" w:rsidP="00B60F32">
      <w:pPr>
        <w:pStyle w:val="ListParagraph"/>
        <w:numPr>
          <w:ilvl w:val="0"/>
          <w:numId w:val="16"/>
        </w:numPr>
        <w:rPr>
          <w:rFonts w:ascii="Arial" w:hAnsi="Arial" w:cs="Arial"/>
          <w:color w:val="000000" w:themeColor="text1"/>
          <w:sz w:val="24"/>
          <w:szCs w:val="24"/>
        </w:rPr>
      </w:pPr>
      <w:r w:rsidRPr="008E5998">
        <w:rPr>
          <w:rFonts w:ascii="Arial" w:hAnsi="Arial" w:cs="Arial"/>
          <w:color w:val="000000" w:themeColor="text1"/>
          <w:sz w:val="24"/>
          <w:szCs w:val="24"/>
        </w:rPr>
        <w:t>A public facility otherwise eligible for assistance under the CDBG program ma</w:t>
      </w:r>
      <w:r w:rsidR="00683B43" w:rsidRPr="008E5998">
        <w:rPr>
          <w:rFonts w:ascii="Arial" w:hAnsi="Arial" w:cs="Arial"/>
          <w:color w:val="000000" w:themeColor="text1"/>
          <w:sz w:val="24"/>
          <w:szCs w:val="24"/>
        </w:rPr>
        <w:t>y be assisted with CDBG funds even if it is part of a multiple use building containing ineligible uses, if:</w:t>
      </w:r>
    </w:p>
    <w:p w14:paraId="376D546E" w14:textId="6D2E1EE6" w:rsidR="00683B43" w:rsidRPr="008E5998" w:rsidRDefault="001A2092" w:rsidP="00683B43">
      <w:pPr>
        <w:pStyle w:val="ListParagraph"/>
        <w:numPr>
          <w:ilvl w:val="1"/>
          <w:numId w:val="16"/>
        </w:numPr>
        <w:rPr>
          <w:rFonts w:ascii="Arial" w:hAnsi="Arial" w:cs="Arial"/>
          <w:color w:val="000000" w:themeColor="text1"/>
          <w:sz w:val="24"/>
          <w:szCs w:val="24"/>
        </w:rPr>
      </w:pPr>
      <w:r w:rsidRPr="008E5998">
        <w:rPr>
          <w:rFonts w:ascii="Arial" w:hAnsi="Arial" w:cs="Arial"/>
          <w:color w:val="000000" w:themeColor="text1"/>
          <w:sz w:val="24"/>
          <w:szCs w:val="24"/>
        </w:rPr>
        <w:t>The public portion of the facility that is other</w:t>
      </w:r>
      <w:r w:rsidR="006A2940" w:rsidRPr="008E5998">
        <w:rPr>
          <w:rFonts w:ascii="Arial" w:hAnsi="Arial" w:cs="Arial"/>
          <w:color w:val="000000" w:themeColor="text1"/>
          <w:sz w:val="24"/>
          <w:szCs w:val="24"/>
        </w:rPr>
        <w:t>wise eligible and proposed for assistance will occupy a designated and discrete area within the larger facility</w:t>
      </w:r>
      <w:r w:rsidR="00AB1CB9" w:rsidRPr="008E5998">
        <w:rPr>
          <w:rFonts w:ascii="Arial" w:hAnsi="Arial" w:cs="Arial"/>
          <w:color w:val="000000" w:themeColor="text1"/>
          <w:sz w:val="24"/>
          <w:szCs w:val="24"/>
        </w:rPr>
        <w:t>.</w:t>
      </w:r>
    </w:p>
    <w:p w14:paraId="1D64403D" w14:textId="41168CAC" w:rsidR="00AB1CB9" w:rsidRPr="008E5998" w:rsidRDefault="00AB1CB9" w:rsidP="00683B43">
      <w:pPr>
        <w:pStyle w:val="ListParagraph"/>
        <w:numPr>
          <w:ilvl w:val="1"/>
          <w:numId w:val="16"/>
        </w:numPr>
        <w:rPr>
          <w:rFonts w:ascii="Arial" w:hAnsi="Arial" w:cs="Arial"/>
          <w:color w:val="000000" w:themeColor="text1"/>
          <w:sz w:val="24"/>
          <w:szCs w:val="24"/>
        </w:rPr>
      </w:pPr>
      <w:r w:rsidRPr="008E5998">
        <w:rPr>
          <w:rFonts w:ascii="Arial" w:hAnsi="Arial" w:cs="Arial"/>
          <w:color w:val="000000" w:themeColor="text1"/>
          <w:sz w:val="24"/>
          <w:szCs w:val="24"/>
        </w:rPr>
        <w:t xml:space="preserve">The grantee can determine the costs attributable </w:t>
      </w:r>
      <w:r w:rsidR="00BC1D16" w:rsidRPr="008E5998">
        <w:rPr>
          <w:rFonts w:ascii="Arial" w:hAnsi="Arial" w:cs="Arial"/>
          <w:color w:val="000000" w:themeColor="text1"/>
          <w:sz w:val="24"/>
          <w:szCs w:val="24"/>
        </w:rPr>
        <w:t xml:space="preserve">to the facility proposed for assistance as separate and distinct from the overall costs of the </w:t>
      </w:r>
      <w:r w:rsidR="00F6492B" w:rsidRPr="008E5998">
        <w:rPr>
          <w:rFonts w:ascii="Arial" w:hAnsi="Arial" w:cs="Arial"/>
          <w:color w:val="000000" w:themeColor="text1"/>
          <w:sz w:val="24"/>
          <w:szCs w:val="24"/>
        </w:rPr>
        <w:t>multiple use</w:t>
      </w:r>
      <w:r w:rsidR="00BC1D16" w:rsidRPr="008E5998">
        <w:rPr>
          <w:rFonts w:ascii="Arial" w:hAnsi="Arial" w:cs="Arial"/>
          <w:color w:val="000000" w:themeColor="text1"/>
          <w:sz w:val="24"/>
          <w:szCs w:val="24"/>
        </w:rPr>
        <w:t xml:space="preserve"> building and/or facility. Allowable costs are limited to those</w:t>
      </w:r>
      <w:r w:rsidR="009D2A0A" w:rsidRPr="008E5998">
        <w:rPr>
          <w:rFonts w:ascii="Arial" w:hAnsi="Arial" w:cs="Arial"/>
          <w:color w:val="000000" w:themeColor="text1"/>
          <w:sz w:val="24"/>
          <w:szCs w:val="24"/>
        </w:rPr>
        <w:t xml:space="preserve"> attributable to the eligible portion of the building or facility. </w:t>
      </w:r>
    </w:p>
    <w:p w14:paraId="16EB6DE3" w14:textId="50B98269" w:rsidR="00C221F0" w:rsidRPr="008E5998" w:rsidRDefault="00C221F0" w:rsidP="00C221F0">
      <w:pPr>
        <w:rPr>
          <w:rFonts w:ascii="Arial" w:hAnsi="Arial" w:cs="Arial"/>
          <w:color w:val="000000" w:themeColor="text1"/>
          <w:sz w:val="24"/>
          <w:szCs w:val="24"/>
        </w:rPr>
      </w:pPr>
    </w:p>
    <w:p w14:paraId="4804AACE" w14:textId="77777777" w:rsidR="002518F9" w:rsidRPr="008E5998" w:rsidRDefault="002518F9" w:rsidP="002518F9">
      <w:pPr>
        <w:rPr>
          <w:rFonts w:ascii="Arial" w:hAnsi="Arial" w:cs="Arial"/>
          <w:sz w:val="24"/>
          <w:szCs w:val="24"/>
          <w:u w:val="single"/>
        </w:rPr>
      </w:pPr>
      <w:r w:rsidRPr="008E5998">
        <w:rPr>
          <w:rFonts w:ascii="Arial" w:hAnsi="Arial" w:cs="Arial"/>
          <w:sz w:val="24"/>
          <w:szCs w:val="24"/>
          <w:u w:val="single"/>
        </w:rPr>
        <w:t>How to Apply for Funding</w:t>
      </w:r>
    </w:p>
    <w:p w14:paraId="5820C8E1" w14:textId="77777777" w:rsidR="008A3377" w:rsidRPr="008E5998" w:rsidRDefault="002518F9" w:rsidP="008A3377">
      <w:pPr>
        <w:rPr>
          <w:rFonts w:ascii="Arial" w:hAnsi="Arial" w:cs="Arial"/>
          <w:sz w:val="24"/>
          <w:szCs w:val="24"/>
        </w:rPr>
      </w:pPr>
      <w:r w:rsidRPr="008E5998">
        <w:rPr>
          <w:rFonts w:ascii="Arial" w:hAnsi="Arial" w:cs="Arial"/>
          <w:sz w:val="24"/>
          <w:szCs w:val="24"/>
        </w:rPr>
        <w:t>Applications will be made available on 11/</w:t>
      </w:r>
      <w:r w:rsidR="00E26AD4" w:rsidRPr="008E5998">
        <w:rPr>
          <w:rFonts w:ascii="Arial" w:hAnsi="Arial" w:cs="Arial"/>
          <w:sz w:val="24"/>
          <w:szCs w:val="24"/>
        </w:rPr>
        <w:t>17</w:t>
      </w:r>
      <w:r w:rsidRPr="008E5998">
        <w:rPr>
          <w:rFonts w:ascii="Arial" w:hAnsi="Arial" w:cs="Arial"/>
          <w:sz w:val="24"/>
          <w:szCs w:val="24"/>
        </w:rPr>
        <w:t>/202</w:t>
      </w:r>
      <w:r w:rsidR="00717E89" w:rsidRPr="008E5998">
        <w:rPr>
          <w:rFonts w:ascii="Arial" w:hAnsi="Arial" w:cs="Arial"/>
          <w:sz w:val="24"/>
          <w:szCs w:val="24"/>
        </w:rPr>
        <w:t>5</w:t>
      </w:r>
      <w:r w:rsidRPr="008E5998">
        <w:rPr>
          <w:rFonts w:ascii="Arial" w:hAnsi="Arial" w:cs="Arial"/>
          <w:sz w:val="24"/>
          <w:szCs w:val="24"/>
        </w:rPr>
        <w:t xml:space="preserve"> via the City’s Neighborly application portal. The application will remain open through 01/0</w:t>
      </w:r>
      <w:r w:rsidR="00717E89" w:rsidRPr="008E5998">
        <w:rPr>
          <w:rFonts w:ascii="Arial" w:hAnsi="Arial" w:cs="Arial"/>
          <w:sz w:val="24"/>
          <w:szCs w:val="24"/>
        </w:rPr>
        <w:t>5</w:t>
      </w:r>
      <w:r w:rsidRPr="008E5998">
        <w:rPr>
          <w:rFonts w:ascii="Arial" w:hAnsi="Arial" w:cs="Arial"/>
          <w:sz w:val="24"/>
          <w:szCs w:val="24"/>
        </w:rPr>
        <w:t>/202</w:t>
      </w:r>
      <w:r w:rsidR="00717E89" w:rsidRPr="008E5998">
        <w:rPr>
          <w:rFonts w:ascii="Arial" w:hAnsi="Arial" w:cs="Arial"/>
          <w:sz w:val="24"/>
          <w:szCs w:val="24"/>
        </w:rPr>
        <w:t>6</w:t>
      </w:r>
      <w:r w:rsidRPr="008E5998">
        <w:rPr>
          <w:rFonts w:ascii="Arial" w:hAnsi="Arial" w:cs="Arial"/>
          <w:sz w:val="24"/>
          <w:szCs w:val="24"/>
        </w:rPr>
        <w:t xml:space="preserve">, at 11:59PM. </w:t>
      </w:r>
      <w:r w:rsidRPr="008E5998">
        <w:rPr>
          <w:rFonts w:ascii="Arial" w:hAnsi="Arial" w:cs="Arial"/>
          <w:sz w:val="24"/>
          <w:szCs w:val="24"/>
          <w:u w:val="single"/>
        </w:rPr>
        <w:t>Paper applications will not be accepted for this program</w:t>
      </w:r>
      <w:r w:rsidRPr="008E5998">
        <w:rPr>
          <w:rFonts w:ascii="Arial" w:hAnsi="Arial" w:cs="Arial"/>
          <w:sz w:val="24"/>
          <w:szCs w:val="24"/>
        </w:rPr>
        <w:t xml:space="preserve">. Applications submitted in the incorrect category will not be evaluated. Several applications are available in the City’s Neighborly portal. You will need to select the Public </w:t>
      </w:r>
      <w:r w:rsidR="00E32464" w:rsidRPr="008E5998">
        <w:rPr>
          <w:rFonts w:ascii="Arial" w:hAnsi="Arial" w:cs="Arial"/>
          <w:sz w:val="24"/>
          <w:szCs w:val="24"/>
        </w:rPr>
        <w:t>Facilities and Infrastructure</w:t>
      </w:r>
      <w:r w:rsidRPr="008E5998">
        <w:rPr>
          <w:rFonts w:ascii="Arial" w:hAnsi="Arial" w:cs="Arial"/>
          <w:sz w:val="24"/>
          <w:szCs w:val="24"/>
        </w:rPr>
        <w:t xml:space="preserve"> application option. </w:t>
      </w:r>
      <w:r w:rsidR="008A3377" w:rsidRPr="008E5998">
        <w:rPr>
          <w:rFonts w:ascii="Arial" w:hAnsi="Arial" w:cs="Arial"/>
          <w:sz w:val="24"/>
          <w:szCs w:val="24"/>
        </w:rPr>
        <w:t xml:space="preserve">If you encounter issues submitting the application, it is your responsibility to email City staff that an issue exists at submission. Failure to provide </w:t>
      </w:r>
      <w:r w:rsidR="008A3377" w:rsidRPr="008E5998">
        <w:rPr>
          <w:rFonts w:ascii="Arial" w:hAnsi="Arial" w:cs="Arial"/>
          <w:sz w:val="24"/>
          <w:szCs w:val="24"/>
        </w:rPr>
        <w:lastRenderedPageBreak/>
        <w:t xml:space="preserve">written communication to City staff </w:t>
      </w:r>
      <w:r w:rsidR="008A3377" w:rsidRPr="008E5998">
        <w:rPr>
          <w:rFonts w:ascii="Arial" w:hAnsi="Arial" w:cs="Arial"/>
          <w:i/>
          <w:iCs/>
          <w:sz w:val="24"/>
          <w:szCs w:val="24"/>
        </w:rPr>
        <w:t>before</w:t>
      </w:r>
      <w:r w:rsidR="008A3377" w:rsidRPr="008E5998">
        <w:rPr>
          <w:rFonts w:ascii="Arial" w:hAnsi="Arial" w:cs="Arial"/>
          <w:sz w:val="24"/>
          <w:szCs w:val="24"/>
        </w:rPr>
        <w:t xml:space="preserve"> the submission deadline will result in the application not being accepted regardless of the issue encountered.</w:t>
      </w:r>
    </w:p>
    <w:p w14:paraId="4A561297" w14:textId="57BB45AF" w:rsidR="002518F9" w:rsidRPr="008E5998" w:rsidRDefault="002518F9" w:rsidP="002518F9">
      <w:pPr>
        <w:rPr>
          <w:rFonts w:ascii="Arial" w:hAnsi="Arial" w:cs="Arial"/>
          <w:sz w:val="24"/>
          <w:szCs w:val="24"/>
        </w:rPr>
      </w:pPr>
      <w:r w:rsidRPr="008E5998">
        <w:rPr>
          <w:rFonts w:ascii="Arial" w:hAnsi="Arial" w:cs="Arial"/>
          <w:sz w:val="24"/>
          <w:szCs w:val="24"/>
        </w:rPr>
        <w:t xml:space="preserve">Online Application Link: </w:t>
      </w:r>
      <w:hyperlink r:id="rId22" w:history="1">
        <w:r w:rsidR="00D564B2" w:rsidRPr="008E5998">
          <w:rPr>
            <w:rStyle w:val="Hyperlink"/>
            <w:rFonts w:ascii="Arial" w:hAnsi="Arial" w:cs="Arial"/>
            <w:sz w:val="24"/>
            <w:szCs w:val="24"/>
          </w:rPr>
          <w:t>https://portal.neighborlysoftware.com/bloomingtonil/Participant</w:t>
        </w:r>
      </w:hyperlink>
    </w:p>
    <w:p w14:paraId="35611919" w14:textId="6DB693F1" w:rsidR="0074739B" w:rsidRPr="008E5998" w:rsidRDefault="0074739B" w:rsidP="00C221F0">
      <w:pPr>
        <w:rPr>
          <w:rFonts w:ascii="Arial" w:hAnsi="Arial" w:cs="Arial"/>
          <w:color w:val="000000" w:themeColor="text1"/>
          <w:sz w:val="24"/>
          <w:szCs w:val="24"/>
        </w:rPr>
      </w:pPr>
    </w:p>
    <w:p w14:paraId="32EA2632" w14:textId="5E85E68E" w:rsidR="002134BC" w:rsidRPr="008E5998" w:rsidRDefault="002134BC" w:rsidP="002D1A0C">
      <w:pPr>
        <w:pStyle w:val="paragraph"/>
        <w:spacing w:before="0" w:beforeAutospacing="0" w:after="0" w:afterAutospacing="0" w:line="259" w:lineRule="auto"/>
        <w:textAlignment w:val="baseline"/>
        <w:rPr>
          <w:rStyle w:val="eop"/>
          <w:rFonts w:ascii="Arial" w:hAnsi="Arial" w:cs="Arial"/>
          <w:u w:val="single"/>
        </w:rPr>
      </w:pPr>
      <w:r w:rsidRPr="008E5998">
        <w:rPr>
          <w:rStyle w:val="eop"/>
          <w:rFonts w:ascii="Arial" w:hAnsi="Arial" w:cs="Arial"/>
          <w:u w:val="single"/>
        </w:rPr>
        <w:t>Documentation Required with Application Submission</w:t>
      </w:r>
    </w:p>
    <w:p w14:paraId="0C1AB4C9" w14:textId="7D70C9AF" w:rsidR="002134BC" w:rsidRPr="008E5998" w:rsidRDefault="002134BC" w:rsidP="002D1A0C">
      <w:pPr>
        <w:pStyle w:val="paragraph"/>
        <w:spacing w:before="0" w:beforeAutospacing="0" w:after="0" w:afterAutospacing="0" w:line="259" w:lineRule="auto"/>
        <w:textAlignment w:val="baseline"/>
        <w:rPr>
          <w:rFonts w:ascii="Arial" w:hAnsi="Arial" w:cs="Arial"/>
        </w:rPr>
      </w:pPr>
      <w:r w:rsidRPr="008E5998">
        <w:rPr>
          <w:rStyle w:val="eop"/>
          <w:rFonts w:ascii="Arial" w:hAnsi="Arial" w:cs="Arial"/>
        </w:rPr>
        <w:t>App</w:t>
      </w:r>
      <w:r w:rsidR="002D1A0C" w:rsidRPr="008E5998">
        <w:rPr>
          <w:rStyle w:val="eop"/>
          <w:rFonts w:ascii="Arial" w:hAnsi="Arial" w:cs="Arial"/>
        </w:rPr>
        <w:t xml:space="preserve">lications </w:t>
      </w:r>
      <w:r w:rsidR="002D1A0C" w:rsidRPr="008E5998">
        <w:rPr>
          <w:rStyle w:val="normaltextrun"/>
          <w:rFonts w:ascii="Arial" w:hAnsi="Arial" w:cs="Arial"/>
        </w:rPr>
        <w:t>must be submitted with the following documentation. This documentation is critical to ensuring federal regulatory compliance and program oversight. Applications missing, or subverting, required documentation will not be evaluated or funded. </w:t>
      </w:r>
      <w:r w:rsidR="002D1A0C" w:rsidRPr="008E5998">
        <w:rPr>
          <w:rStyle w:val="eop"/>
          <w:rFonts w:ascii="Arial" w:hAnsi="Arial" w:cs="Arial"/>
        </w:rPr>
        <w:t> </w:t>
      </w:r>
    </w:p>
    <w:p w14:paraId="36A81F4D" w14:textId="77777777" w:rsidR="005A32A1" w:rsidRPr="008E5998" w:rsidRDefault="005A32A1"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SAM.gov Verification</w:t>
      </w:r>
    </w:p>
    <w:p w14:paraId="6AB0CD37" w14:textId="77777777" w:rsidR="004C57F8" w:rsidRPr="008E5998" w:rsidRDefault="005A32A1"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Nonprofit Determination or Certified L</w:t>
      </w:r>
      <w:r w:rsidR="004C57F8" w:rsidRPr="008E5998">
        <w:rPr>
          <w:rStyle w:val="normaltextrun"/>
          <w:rFonts w:ascii="Arial" w:hAnsi="Arial" w:cs="Arial"/>
        </w:rPr>
        <w:t>ocal Government Certification</w:t>
      </w:r>
    </w:p>
    <w:p w14:paraId="4C52B474" w14:textId="77777777" w:rsidR="004C57F8" w:rsidRPr="008E5998" w:rsidRDefault="004C57F8"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Organizational Chart</w:t>
      </w:r>
    </w:p>
    <w:p w14:paraId="141D5000" w14:textId="77777777" w:rsidR="004C57F8" w:rsidRPr="008E5998" w:rsidRDefault="004C57F8"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Current Board of Director (or Equivalent Body) List</w:t>
      </w:r>
    </w:p>
    <w:p w14:paraId="524C0902" w14:textId="77777777" w:rsidR="004C57F8" w:rsidRPr="008E5998" w:rsidRDefault="004C57F8"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 xml:space="preserve">Current Liability Insurance Certificate </w:t>
      </w:r>
    </w:p>
    <w:p w14:paraId="28E16D4A" w14:textId="77777777" w:rsidR="004C57F8" w:rsidRPr="008E5998" w:rsidRDefault="004C57F8"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Chart of Accounts</w:t>
      </w:r>
    </w:p>
    <w:p w14:paraId="56F7B030" w14:textId="77777777" w:rsidR="00A27357" w:rsidRPr="008E5998" w:rsidRDefault="004C57F8"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Current Audit or Financial Statement if Audit Not Required</w:t>
      </w:r>
    </w:p>
    <w:p w14:paraId="1847BD5B" w14:textId="77777777" w:rsidR="00A27357" w:rsidRPr="008E5998" w:rsidRDefault="00A27357"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 xml:space="preserve">Financial Internal Control Policies </w:t>
      </w:r>
    </w:p>
    <w:p w14:paraId="7D293803" w14:textId="77777777" w:rsidR="00F10110" w:rsidRPr="008E5998" w:rsidRDefault="00F10110"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Governing Body Authorization to Submit Funding Request</w:t>
      </w:r>
    </w:p>
    <w:p w14:paraId="5A9A53FA" w14:textId="77777777" w:rsidR="00F10110" w:rsidRPr="008E5998" w:rsidRDefault="00F10110"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 xml:space="preserve">Job Descriptions for All Positions Assigned to the Project </w:t>
      </w:r>
    </w:p>
    <w:p w14:paraId="14B46D55" w14:textId="77777777" w:rsidR="00251B3B" w:rsidRPr="008E5998" w:rsidRDefault="00F10110"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 xml:space="preserve">Conflict of Interest Policy for Agency Staff and Board of Directors </w:t>
      </w:r>
    </w:p>
    <w:p w14:paraId="67FE46EE" w14:textId="77777777" w:rsidR="00251B3B" w:rsidRPr="008E5998" w:rsidRDefault="00251B3B"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 xml:space="preserve">Drug-Free Workplace Policy </w:t>
      </w:r>
    </w:p>
    <w:p w14:paraId="735DDD84" w14:textId="77777777" w:rsidR="00251B3B" w:rsidRPr="008E5998" w:rsidRDefault="00251B3B" w:rsidP="00532F4D">
      <w:pPr>
        <w:pStyle w:val="paragraph"/>
        <w:numPr>
          <w:ilvl w:val="0"/>
          <w:numId w:val="17"/>
        </w:numPr>
        <w:spacing w:before="0" w:beforeAutospacing="0" w:after="0" w:afterAutospacing="0" w:line="259" w:lineRule="auto"/>
        <w:ind w:left="1080" w:firstLine="0"/>
        <w:textAlignment w:val="baseline"/>
        <w:rPr>
          <w:rStyle w:val="normaltextrun"/>
          <w:rFonts w:ascii="Arial" w:hAnsi="Arial" w:cs="Arial"/>
        </w:rPr>
      </w:pPr>
      <w:r w:rsidRPr="008E5998">
        <w:rPr>
          <w:rStyle w:val="normaltextrun"/>
          <w:rFonts w:ascii="Arial" w:hAnsi="Arial" w:cs="Arial"/>
        </w:rPr>
        <w:t>Grievance/Termination Policy (Agency staff and program beneficiaries)</w:t>
      </w:r>
    </w:p>
    <w:p w14:paraId="3A8B32B2" w14:textId="3E7F5818" w:rsidR="00A05CFD" w:rsidRPr="008E5998" w:rsidRDefault="00251B3B" w:rsidP="00532F4D">
      <w:pPr>
        <w:pStyle w:val="paragraph"/>
        <w:numPr>
          <w:ilvl w:val="0"/>
          <w:numId w:val="17"/>
        </w:numPr>
        <w:spacing w:before="0" w:beforeAutospacing="0" w:after="0" w:afterAutospacing="0" w:line="259" w:lineRule="auto"/>
        <w:ind w:left="1080" w:firstLine="0"/>
        <w:textAlignment w:val="baseline"/>
        <w:rPr>
          <w:rStyle w:val="eop"/>
          <w:rFonts w:ascii="Arial" w:hAnsi="Arial" w:cs="Arial"/>
        </w:rPr>
      </w:pPr>
      <w:r w:rsidRPr="008E5998">
        <w:rPr>
          <w:rStyle w:val="normaltextrun"/>
          <w:rFonts w:ascii="Arial" w:hAnsi="Arial" w:cs="Arial"/>
        </w:rPr>
        <w:t xml:space="preserve">Non-Discrimination Policy for Employment </w:t>
      </w:r>
      <w:r w:rsidR="00A05CFD" w:rsidRPr="008E5998">
        <w:rPr>
          <w:rStyle w:val="normaltextrun"/>
          <w:rFonts w:ascii="Arial" w:hAnsi="Arial" w:cs="Arial"/>
        </w:rPr>
        <w:t> </w:t>
      </w:r>
      <w:r w:rsidR="00A05CFD" w:rsidRPr="008E5998">
        <w:rPr>
          <w:rStyle w:val="eop"/>
          <w:rFonts w:ascii="Arial" w:hAnsi="Arial" w:cs="Arial"/>
        </w:rPr>
        <w:t> </w:t>
      </w:r>
    </w:p>
    <w:p w14:paraId="1E6C0817" w14:textId="123B54EE" w:rsidR="00251B3B" w:rsidRPr="008E5998" w:rsidRDefault="00B66BE0"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Non-Discrimination Policy for Services</w:t>
      </w:r>
    </w:p>
    <w:p w14:paraId="73A5204C" w14:textId="2C63D1E8" w:rsidR="00B66BE0" w:rsidRPr="008E5998" w:rsidRDefault="00A104E0"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Procurement Policy</w:t>
      </w:r>
    </w:p>
    <w:p w14:paraId="051111DF" w14:textId="64A81DAB" w:rsidR="00A104E0" w:rsidRPr="008E5998" w:rsidRDefault="00A104E0"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Record Retention Policy</w:t>
      </w:r>
    </w:p>
    <w:p w14:paraId="79E7D93E" w14:textId="2234222E" w:rsidR="00A104E0" w:rsidRPr="008E5998" w:rsidRDefault="0033456B"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Section 504 Certification and Checklist</w:t>
      </w:r>
    </w:p>
    <w:p w14:paraId="6880CD4E" w14:textId="5D8810B6" w:rsidR="00AB105E" w:rsidRPr="008E5998" w:rsidRDefault="00AB105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 xml:space="preserve">Programmatic Risk Assessment Questionnaire </w:t>
      </w:r>
    </w:p>
    <w:p w14:paraId="42DAC677" w14:textId="4BED546D" w:rsidR="00AB105E" w:rsidRPr="008E5998" w:rsidRDefault="00AB105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 xml:space="preserve">Designation of Authorized Official </w:t>
      </w:r>
    </w:p>
    <w:p w14:paraId="210CA5B6" w14:textId="1CFDD8EB" w:rsidR="00AB105E" w:rsidRPr="008E5998" w:rsidRDefault="00AB105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Physical Inventory Records (Most Recent</w:t>
      </w:r>
      <w:r w:rsidR="008B3471" w:rsidRPr="008E5998">
        <w:rPr>
          <w:rFonts w:ascii="Arial" w:hAnsi="Arial" w:cs="Arial"/>
        </w:rPr>
        <w:t>)</w:t>
      </w:r>
    </w:p>
    <w:p w14:paraId="70D7D9CC" w14:textId="646FFAB7" w:rsidR="008B3471"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Affordable Housing Development Project Timeline (Optional)</w:t>
      </w:r>
    </w:p>
    <w:p w14:paraId="039E30CE" w14:textId="1EE5AB1D" w:rsidR="00E30D8E"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Affordable Housing Development Project Financing Documentation (Optional)</w:t>
      </w:r>
    </w:p>
    <w:p w14:paraId="5F22DD8D" w14:textId="779BD619" w:rsidR="00E30D8E"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Affordable Housing Development Project Affordability Provisions/Plans (Optional)</w:t>
      </w:r>
    </w:p>
    <w:p w14:paraId="0B593CDC" w14:textId="0975D716" w:rsidR="00E30D8E"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Affordable Housing Development Project Planning/Zoning Approval Verification (Optional)</w:t>
      </w:r>
    </w:p>
    <w:p w14:paraId="2656DBC7" w14:textId="23C14CA8" w:rsidR="00E30D8E"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Letters of Support (Optional)</w:t>
      </w:r>
    </w:p>
    <w:p w14:paraId="1470687A" w14:textId="3B13FE88" w:rsidR="00E30D8E"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Staff Resumes (Optional)</w:t>
      </w:r>
    </w:p>
    <w:p w14:paraId="0BD862ED" w14:textId="712FC565" w:rsidR="00E30D8E"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Project Architectural Drawings/Preliminary Plans (Optional)</w:t>
      </w:r>
    </w:p>
    <w:p w14:paraId="3EE1EFE3" w14:textId="445488FB" w:rsidR="00E30D8E"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Project Cost Estimate (Optional)</w:t>
      </w:r>
    </w:p>
    <w:p w14:paraId="2C195334" w14:textId="77777777" w:rsidR="00425670" w:rsidRDefault="00425670" w:rsidP="00425670">
      <w:pPr>
        <w:pStyle w:val="paragraph"/>
        <w:spacing w:before="0" w:beforeAutospacing="0" w:after="0" w:afterAutospacing="0" w:line="259" w:lineRule="auto"/>
        <w:ind w:left="1080"/>
        <w:textAlignment w:val="baseline"/>
        <w:rPr>
          <w:rFonts w:ascii="Arial" w:hAnsi="Arial" w:cs="Arial"/>
        </w:rPr>
      </w:pPr>
    </w:p>
    <w:p w14:paraId="024F29C9" w14:textId="6EC58F5A" w:rsidR="00E30D8E" w:rsidRPr="008E5998" w:rsidRDefault="00E30D8E"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ASTM Certified Phase I ESA Report (Optional)</w:t>
      </w:r>
    </w:p>
    <w:p w14:paraId="6B04CC7A" w14:textId="5E252423" w:rsidR="00C95ED8" w:rsidRPr="008E5998" w:rsidRDefault="00C95ED8" w:rsidP="00532F4D">
      <w:pPr>
        <w:pStyle w:val="paragraph"/>
        <w:numPr>
          <w:ilvl w:val="0"/>
          <w:numId w:val="17"/>
        </w:numPr>
        <w:spacing w:before="0" w:beforeAutospacing="0" w:after="0" w:afterAutospacing="0" w:line="259" w:lineRule="auto"/>
        <w:ind w:left="1080" w:firstLine="0"/>
        <w:textAlignment w:val="baseline"/>
        <w:rPr>
          <w:rFonts w:ascii="Arial" w:hAnsi="Arial" w:cs="Arial"/>
        </w:rPr>
      </w:pPr>
      <w:r w:rsidRPr="008E5998">
        <w:rPr>
          <w:rFonts w:ascii="Arial" w:hAnsi="Arial" w:cs="Arial"/>
        </w:rPr>
        <w:t>Other (Optional)</w:t>
      </w:r>
    </w:p>
    <w:p w14:paraId="13CA42C7" w14:textId="77777777" w:rsidR="000B1258" w:rsidRPr="008E5998" w:rsidRDefault="000B1258" w:rsidP="00532F4D">
      <w:pPr>
        <w:pStyle w:val="paragraph"/>
        <w:spacing w:before="0" w:beforeAutospacing="0" w:after="0" w:afterAutospacing="0" w:line="259" w:lineRule="auto"/>
        <w:textAlignment w:val="baseline"/>
        <w:rPr>
          <w:rStyle w:val="normaltextrun"/>
          <w:rFonts w:ascii="Arial" w:hAnsi="Arial" w:cs="Arial"/>
          <w:i/>
          <w:iCs/>
        </w:rPr>
      </w:pPr>
    </w:p>
    <w:p w14:paraId="2BFD1C83" w14:textId="761B63A2" w:rsidR="00A05CFD" w:rsidRPr="008E5998" w:rsidRDefault="00A05CFD" w:rsidP="00532F4D">
      <w:pPr>
        <w:pStyle w:val="paragraph"/>
        <w:spacing w:before="0" w:beforeAutospacing="0" w:after="0" w:afterAutospacing="0" w:line="259" w:lineRule="auto"/>
        <w:textAlignment w:val="baseline"/>
        <w:rPr>
          <w:rFonts w:ascii="Arial" w:hAnsi="Arial" w:cs="Arial"/>
          <w:sz w:val="18"/>
          <w:szCs w:val="18"/>
        </w:rPr>
      </w:pPr>
      <w:r w:rsidRPr="008E5998">
        <w:rPr>
          <w:rStyle w:val="normaltextrun"/>
          <w:rFonts w:ascii="Arial" w:hAnsi="Arial" w:cs="Arial"/>
          <w:i/>
          <w:iCs/>
        </w:rPr>
        <w:t>Please note that additional documentation may be requested after application submission.</w:t>
      </w:r>
    </w:p>
    <w:p w14:paraId="63BA7C5C" w14:textId="77777777" w:rsidR="00255178" w:rsidRDefault="00255178" w:rsidP="00B32499">
      <w:pPr>
        <w:pStyle w:val="paragraph"/>
        <w:spacing w:before="0" w:beforeAutospacing="0" w:after="0" w:afterAutospacing="0"/>
        <w:textAlignment w:val="baseline"/>
        <w:rPr>
          <w:rStyle w:val="normaltextrun"/>
          <w:rFonts w:ascii="Arial" w:hAnsi="Arial" w:cs="Arial"/>
          <w:u w:val="single"/>
        </w:rPr>
      </w:pPr>
    </w:p>
    <w:p w14:paraId="3CABCA56" w14:textId="77777777" w:rsidR="00425670" w:rsidRPr="008E5998" w:rsidRDefault="00425670" w:rsidP="00B32499">
      <w:pPr>
        <w:pStyle w:val="paragraph"/>
        <w:spacing w:before="0" w:beforeAutospacing="0" w:after="0" w:afterAutospacing="0"/>
        <w:textAlignment w:val="baseline"/>
        <w:rPr>
          <w:rStyle w:val="normaltextrun"/>
          <w:rFonts w:ascii="Arial" w:hAnsi="Arial" w:cs="Arial"/>
          <w:u w:val="single"/>
        </w:rPr>
      </w:pPr>
    </w:p>
    <w:p w14:paraId="2211D43E" w14:textId="77777777" w:rsidR="002E3E24" w:rsidRPr="008E5998" w:rsidRDefault="002E3E24" w:rsidP="002E3E24">
      <w:pPr>
        <w:rPr>
          <w:rFonts w:ascii="Arial" w:hAnsi="Arial" w:cs="Arial"/>
          <w:sz w:val="24"/>
          <w:szCs w:val="24"/>
          <w:u w:val="single"/>
        </w:rPr>
      </w:pPr>
      <w:r w:rsidRPr="008E5998">
        <w:rPr>
          <w:rFonts w:ascii="Arial" w:hAnsi="Arial" w:cs="Arial"/>
          <w:sz w:val="24"/>
          <w:szCs w:val="24"/>
          <w:u w:val="single"/>
        </w:rPr>
        <w:t>Evaluation Criteria and Information for Funding Applications</w:t>
      </w:r>
    </w:p>
    <w:p w14:paraId="21080B98" w14:textId="6E51D831" w:rsidR="002E3E24" w:rsidRPr="008E5998" w:rsidRDefault="002E3E24" w:rsidP="002E3E24">
      <w:pPr>
        <w:rPr>
          <w:rFonts w:ascii="Arial" w:hAnsi="Arial" w:cs="Arial"/>
          <w:sz w:val="24"/>
          <w:szCs w:val="24"/>
        </w:rPr>
      </w:pPr>
      <w:r w:rsidRPr="008E5998">
        <w:rPr>
          <w:rFonts w:ascii="Arial" w:hAnsi="Arial" w:cs="Arial"/>
          <w:sz w:val="24"/>
          <w:szCs w:val="24"/>
        </w:rPr>
        <w:t xml:space="preserve">Projects will be evaluated using a standardized scoring tool. This tool will be used by internal City staff and external experts to score proposals. The following weighted scoring formula will be used to evaluate proposals. </w:t>
      </w:r>
    </w:p>
    <w:p w14:paraId="3253135E" w14:textId="77777777" w:rsidR="004D4BCA" w:rsidRPr="004D4BCA" w:rsidRDefault="004D4BCA" w:rsidP="004D4BCA">
      <w:pPr>
        <w:rPr>
          <w:rFonts w:ascii="Arial" w:hAnsi="Arial" w:cs="Arial"/>
          <w:i/>
          <w:iCs/>
          <w:sz w:val="24"/>
          <w:szCs w:val="24"/>
        </w:rPr>
      </w:pPr>
      <w:r w:rsidRPr="004D4BCA">
        <w:rPr>
          <w:rFonts w:ascii="Arial" w:hAnsi="Arial" w:cs="Arial"/>
          <w:i/>
          <w:iCs/>
          <w:sz w:val="24"/>
          <w:szCs w:val="24"/>
        </w:rPr>
        <w:t xml:space="preserve">Proposal Score from Internal Staff (50%) + Proposal Score from External Experts (30%) + Proposal CDBG Regulation Compliance, Past Subrecipient Performance, and Pertinent to 2025-2029 CDBG Consolidated Plan Goals as Determined by Community Impact and Enhancement Staff (20%) </w:t>
      </w:r>
    </w:p>
    <w:p w14:paraId="4FCD10E1" w14:textId="77777777" w:rsidR="002E3E24" w:rsidRPr="008E5998" w:rsidRDefault="002E3E24" w:rsidP="002E3E24">
      <w:pPr>
        <w:rPr>
          <w:rFonts w:ascii="Arial" w:hAnsi="Arial" w:cs="Arial"/>
          <w:sz w:val="24"/>
          <w:szCs w:val="24"/>
        </w:rPr>
      </w:pPr>
      <w:r w:rsidRPr="008E5998">
        <w:rPr>
          <w:rFonts w:ascii="Arial" w:hAnsi="Arial" w:cs="Arial"/>
          <w:sz w:val="24"/>
          <w:szCs w:val="24"/>
        </w:rPr>
        <w:t xml:space="preserve">The City reserves the right to fund proposals based on the standardized scoring tool, community need, adherence to CDBG regulations and laws, past performance as a CDBG or other federal grant grantee (or subrecipient), and funding availability. </w:t>
      </w:r>
    </w:p>
    <w:p w14:paraId="20F79A0B" w14:textId="77777777" w:rsidR="007E5CCA" w:rsidRPr="008E5998" w:rsidRDefault="007E5CCA" w:rsidP="007E5CCA">
      <w:pPr>
        <w:pStyle w:val="paragraph"/>
        <w:spacing w:before="0" w:beforeAutospacing="0" w:after="0" w:afterAutospacing="0"/>
        <w:textAlignment w:val="baseline"/>
        <w:rPr>
          <w:rStyle w:val="normaltextrun"/>
          <w:rFonts w:ascii="Arial" w:hAnsi="Arial" w:cs="Arial"/>
          <w:u w:val="single"/>
        </w:rPr>
      </w:pPr>
    </w:p>
    <w:p w14:paraId="31EAE2C6" w14:textId="77777777" w:rsidR="00BB7799" w:rsidRPr="008E5998" w:rsidRDefault="00BB7799" w:rsidP="00BB7799">
      <w:pPr>
        <w:rPr>
          <w:rFonts w:ascii="Arial" w:hAnsi="Arial" w:cs="Arial"/>
          <w:sz w:val="24"/>
          <w:szCs w:val="24"/>
          <w:u w:val="single"/>
        </w:rPr>
      </w:pPr>
      <w:r w:rsidRPr="008E5998">
        <w:rPr>
          <w:rFonts w:ascii="Arial" w:hAnsi="Arial" w:cs="Arial"/>
          <w:sz w:val="24"/>
          <w:szCs w:val="24"/>
          <w:u w:val="single"/>
        </w:rPr>
        <w:t xml:space="preserve">Estimated Funding Timeline (Subject to Change) </w:t>
      </w:r>
    </w:p>
    <w:p w14:paraId="1B0A944F" w14:textId="63159117" w:rsidR="00BB7799" w:rsidRPr="008E5998" w:rsidRDefault="00BB7799" w:rsidP="00BB7799">
      <w:pPr>
        <w:rPr>
          <w:rFonts w:ascii="Arial" w:hAnsi="Arial" w:cs="Arial"/>
          <w:sz w:val="24"/>
          <w:szCs w:val="24"/>
        </w:rPr>
      </w:pPr>
      <w:r w:rsidRPr="008E5998">
        <w:rPr>
          <w:rFonts w:ascii="Arial" w:hAnsi="Arial" w:cs="Arial"/>
          <w:sz w:val="24"/>
          <w:szCs w:val="24"/>
        </w:rPr>
        <w:t>Scoring of the proposals will occur in January 202</w:t>
      </w:r>
      <w:r w:rsidR="002A1A05" w:rsidRPr="008E5998">
        <w:rPr>
          <w:rFonts w:ascii="Arial" w:hAnsi="Arial" w:cs="Arial"/>
          <w:sz w:val="24"/>
          <w:szCs w:val="24"/>
        </w:rPr>
        <w:t>6</w:t>
      </w:r>
      <w:r w:rsidRPr="008E5998">
        <w:rPr>
          <w:rFonts w:ascii="Arial" w:hAnsi="Arial" w:cs="Arial"/>
          <w:sz w:val="24"/>
          <w:szCs w:val="24"/>
        </w:rPr>
        <w:t>. Applicants will be notified of the funding award intention in January or February 202</w:t>
      </w:r>
      <w:r w:rsidR="002A1A05" w:rsidRPr="008E5998">
        <w:rPr>
          <w:rFonts w:ascii="Arial" w:hAnsi="Arial" w:cs="Arial"/>
          <w:sz w:val="24"/>
          <w:szCs w:val="24"/>
        </w:rPr>
        <w:t>6</w:t>
      </w:r>
      <w:r w:rsidRPr="008E5998">
        <w:rPr>
          <w:rFonts w:ascii="Arial" w:hAnsi="Arial" w:cs="Arial"/>
          <w:sz w:val="24"/>
          <w:szCs w:val="24"/>
        </w:rPr>
        <w:t xml:space="preserve">. Please </w:t>
      </w:r>
      <w:r w:rsidR="005D3841" w:rsidRPr="008E5998">
        <w:rPr>
          <w:rFonts w:ascii="Arial" w:hAnsi="Arial" w:cs="Arial"/>
          <w:sz w:val="24"/>
          <w:szCs w:val="24"/>
        </w:rPr>
        <w:t>note</w:t>
      </w:r>
      <w:r w:rsidRPr="008E5998">
        <w:rPr>
          <w:rFonts w:ascii="Arial" w:hAnsi="Arial" w:cs="Arial"/>
          <w:sz w:val="24"/>
          <w:szCs w:val="24"/>
        </w:rPr>
        <w:t xml:space="preserve"> that all funding recommendations made in the Annual Action Plan must be approved by HUD. Depending on federal budget readiness, the annual CDBG allocation that determines total </w:t>
      </w:r>
      <w:r w:rsidR="004D125C" w:rsidRPr="008E5998">
        <w:rPr>
          <w:rFonts w:ascii="Arial" w:hAnsi="Arial" w:cs="Arial"/>
          <w:sz w:val="24"/>
          <w:szCs w:val="24"/>
        </w:rPr>
        <w:t>public facilities, infrastructure, and housing</w:t>
      </w:r>
      <w:r w:rsidRPr="008E5998">
        <w:rPr>
          <w:rFonts w:ascii="Arial" w:hAnsi="Arial" w:cs="Arial"/>
          <w:sz w:val="24"/>
          <w:szCs w:val="24"/>
        </w:rPr>
        <w:t xml:space="preserve"> program funding may not be ready before funding intentions are announced. All funding award intentions are subject to change based on funding from HUD. </w:t>
      </w:r>
    </w:p>
    <w:p w14:paraId="7FE84E06" w14:textId="70119A5B" w:rsidR="00BB7799" w:rsidRPr="008E5998" w:rsidRDefault="00BB7799" w:rsidP="00BB7799">
      <w:pPr>
        <w:rPr>
          <w:rFonts w:ascii="Arial" w:hAnsi="Arial" w:cs="Arial"/>
          <w:sz w:val="24"/>
          <w:szCs w:val="24"/>
        </w:rPr>
      </w:pPr>
      <w:r w:rsidRPr="008E5998">
        <w:rPr>
          <w:rFonts w:ascii="Arial" w:hAnsi="Arial" w:cs="Arial"/>
          <w:sz w:val="24"/>
          <w:szCs w:val="24"/>
        </w:rPr>
        <w:t xml:space="preserve">The </w:t>
      </w:r>
      <w:r w:rsidR="000B4365" w:rsidRPr="008E5998">
        <w:rPr>
          <w:rFonts w:ascii="Arial" w:hAnsi="Arial" w:cs="Arial"/>
          <w:sz w:val="24"/>
          <w:szCs w:val="24"/>
        </w:rPr>
        <w:t>Community Impact and Enhancement Department</w:t>
      </w:r>
      <w:r w:rsidRPr="008E5998">
        <w:rPr>
          <w:rFonts w:ascii="Arial" w:hAnsi="Arial" w:cs="Arial"/>
          <w:sz w:val="24"/>
          <w:szCs w:val="24"/>
        </w:rPr>
        <w:t xml:space="preserve"> intends to present the CDBG Program Year 202</w:t>
      </w:r>
      <w:r w:rsidR="00E53A80" w:rsidRPr="008E5998">
        <w:rPr>
          <w:rFonts w:ascii="Arial" w:hAnsi="Arial" w:cs="Arial"/>
          <w:sz w:val="24"/>
          <w:szCs w:val="24"/>
        </w:rPr>
        <w:t>5</w:t>
      </w:r>
      <w:r w:rsidRPr="008E5998">
        <w:rPr>
          <w:rFonts w:ascii="Arial" w:hAnsi="Arial" w:cs="Arial"/>
          <w:sz w:val="24"/>
          <w:szCs w:val="24"/>
        </w:rPr>
        <w:t xml:space="preserve"> Annual Action Plan to the Bloomington City Council in February 202</w:t>
      </w:r>
      <w:r w:rsidR="00E53A80" w:rsidRPr="008E5998">
        <w:rPr>
          <w:rFonts w:ascii="Arial" w:hAnsi="Arial" w:cs="Arial"/>
          <w:sz w:val="24"/>
          <w:szCs w:val="24"/>
        </w:rPr>
        <w:t>6</w:t>
      </w:r>
      <w:r w:rsidRPr="008E5998">
        <w:rPr>
          <w:rFonts w:ascii="Arial" w:hAnsi="Arial" w:cs="Arial"/>
          <w:sz w:val="24"/>
          <w:szCs w:val="24"/>
        </w:rPr>
        <w:t xml:space="preserve"> and will submit the plan to HUD after this presentation. Please note that no reimbursement requests can be processed until the Annual Action Plan is approved by HUD, subrecipient agreements are executed, </w:t>
      </w:r>
      <w:r w:rsidR="00BE6CF9" w:rsidRPr="008E5998">
        <w:rPr>
          <w:rFonts w:ascii="Arial" w:hAnsi="Arial" w:cs="Arial"/>
          <w:sz w:val="24"/>
          <w:szCs w:val="24"/>
        </w:rPr>
        <w:t xml:space="preserve">the environmental review is completed, </w:t>
      </w:r>
      <w:r w:rsidRPr="008E5998">
        <w:rPr>
          <w:rFonts w:ascii="Arial" w:hAnsi="Arial" w:cs="Arial"/>
          <w:sz w:val="24"/>
          <w:szCs w:val="24"/>
        </w:rPr>
        <w:t xml:space="preserve">and funding from HUD is released.  </w:t>
      </w:r>
    </w:p>
    <w:p w14:paraId="211D6020" w14:textId="6077E5B8" w:rsidR="001568A0" w:rsidRDefault="001568A0" w:rsidP="003634A4">
      <w:pPr>
        <w:rPr>
          <w:rFonts w:ascii="Arial" w:hAnsi="Arial" w:cs="Arial"/>
          <w:sz w:val="24"/>
          <w:szCs w:val="24"/>
        </w:rPr>
      </w:pPr>
    </w:p>
    <w:p w14:paraId="6BAC5A9F" w14:textId="77777777" w:rsidR="00425670" w:rsidRDefault="00425670" w:rsidP="003634A4">
      <w:pPr>
        <w:rPr>
          <w:rFonts w:ascii="Arial" w:hAnsi="Arial" w:cs="Arial"/>
          <w:sz w:val="24"/>
          <w:szCs w:val="24"/>
        </w:rPr>
      </w:pPr>
    </w:p>
    <w:p w14:paraId="5CB4E879" w14:textId="77777777" w:rsidR="00425670" w:rsidRPr="008E5998" w:rsidRDefault="00425670" w:rsidP="003634A4">
      <w:pPr>
        <w:rPr>
          <w:rFonts w:ascii="Arial" w:hAnsi="Arial" w:cs="Arial"/>
          <w:sz w:val="24"/>
          <w:szCs w:val="24"/>
        </w:rPr>
      </w:pPr>
    </w:p>
    <w:p w14:paraId="005F9685" w14:textId="77777777" w:rsidR="00425670" w:rsidRDefault="00425670" w:rsidP="003634A4">
      <w:pPr>
        <w:pStyle w:val="paragraph"/>
        <w:spacing w:before="0" w:beforeAutospacing="0" w:after="0" w:afterAutospacing="0" w:line="259" w:lineRule="auto"/>
        <w:textAlignment w:val="baseline"/>
        <w:rPr>
          <w:rStyle w:val="normaltextrun"/>
          <w:rFonts w:ascii="Arial" w:hAnsi="Arial" w:cs="Arial"/>
          <w:u w:val="single"/>
        </w:rPr>
      </w:pPr>
    </w:p>
    <w:p w14:paraId="419ECB75" w14:textId="23474645" w:rsidR="005C267B" w:rsidRPr="008E5998" w:rsidRDefault="005C267B" w:rsidP="003634A4">
      <w:pPr>
        <w:pStyle w:val="paragraph"/>
        <w:spacing w:before="0" w:beforeAutospacing="0" w:after="0" w:afterAutospacing="0" w:line="259" w:lineRule="auto"/>
        <w:textAlignment w:val="baseline"/>
        <w:rPr>
          <w:rStyle w:val="eop"/>
          <w:rFonts w:ascii="Arial" w:hAnsi="Arial" w:cs="Arial"/>
        </w:rPr>
      </w:pPr>
      <w:r w:rsidRPr="008E5998">
        <w:rPr>
          <w:rStyle w:val="normaltextrun"/>
          <w:rFonts w:ascii="Arial" w:hAnsi="Arial" w:cs="Arial"/>
          <w:u w:val="single"/>
        </w:rPr>
        <w:t>Overview of City of Bloomington CDBG Subrecipient Responsibilities</w:t>
      </w:r>
      <w:r w:rsidRPr="008E5998">
        <w:rPr>
          <w:rStyle w:val="eop"/>
          <w:rFonts w:ascii="Arial" w:hAnsi="Arial" w:cs="Arial"/>
        </w:rPr>
        <w:t> </w:t>
      </w:r>
    </w:p>
    <w:p w14:paraId="03F0144F" w14:textId="30C27F7F" w:rsidR="005C267B" w:rsidRPr="008E5998" w:rsidRDefault="005C267B" w:rsidP="003634A4">
      <w:pPr>
        <w:pStyle w:val="paragraph"/>
        <w:spacing w:before="0" w:beforeAutospacing="0" w:after="0" w:afterAutospacing="0" w:line="259" w:lineRule="auto"/>
        <w:textAlignment w:val="baseline"/>
        <w:rPr>
          <w:rFonts w:ascii="Arial" w:hAnsi="Arial" w:cs="Arial"/>
          <w:sz w:val="18"/>
          <w:szCs w:val="18"/>
        </w:rPr>
      </w:pPr>
      <w:r w:rsidRPr="008E5998">
        <w:rPr>
          <w:rStyle w:val="normaltextrun"/>
          <w:rFonts w:ascii="Arial" w:hAnsi="Arial" w:cs="Arial"/>
        </w:rPr>
        <w:t xml:space="preserve">If your organization is awarded funds, you will be subject to certain conditions within a subrecipient agreement. </w:t>
      </w:r>
      <w:r w:rsidR="00D6752F" w:rsidRPr="008E5998">
        <w:rPr>
          <w:rFonts w:ascii="Arial" w:hAnsi="Arial" w:cs="Arial"/>
        </w:rPr>
        <w:t>The items listed below do not represent the full set of subrecipient responsibilities and are intended for general information purposes only.</w:t>
      </w:r>
    </w:p>
    <w:p w14:paraId="704C77AD" w14:textId="77777777" w:rsidR="00055A67" w:rsidRPr="008E5998" w:rsidRDefault="00055A67" w:rsidP="00055A67">
      <w:pPr>
        <w:pStyle w:val="ListParagraph"/>
        <w:numPr>
          <w:ilvl w:val="0"/>
          <w:numId w:val="29"/>
        </w:numPr>
        <w:rPr>
          <w:rFonts w:ascii="Arial" w:hAnsi="Arial" w:cs="Arial"/>
          <w:sz w:val="24"/>
          <w:szCs w:val="24"/>
        </w:rPr>
      </w:pPr>
      <w:r w:rsidRPr="008E5998">
        <w:rPr>
          <w:rFonts w:ascii="Arial" w:hAnsi="Arial" w:cs="Arial"/>
          <w:sz w:val="24"/>
          <w:szCs w:val="24"/>
        </w:rPr>
        <w:t>Compliance with all Applicable Federal, State, and Local Laws and Regulations</w:t>
      </w:r>
    </w:p>
    <w:p w14:paraId="40982E58" w14:textId="77777777" w:rsidR="00055A67" w:rsidRPr="008E5998" w:rsidRDefault="00055A67" w:rsidP="00055A67">
      <w:pPr>
        <w:pStyle w:val="ListParagraph"/>
        <w:numPr>
          <w:ilvl w:val="1"/>
          <w:numId w:val="29"/>
        </w:numPr>
        <w:rPr>
          <w:rFonts w:ascii="Arial" w:hAnsi="Arial" w:cs="Arial"/>
          <w:sz w:val="24"/>
          <w:szCs w:val="24"/>
        </w:rPr>
      </w:pPr>
      <w:r w:rsidRPr="008E5998">
        <w:rPr>
          <w:rFonts w:ascii="Arial" w:hAnsi="Arial" w:cs="Arial"/>
          <w:sz w:val="24"/>
          <w:szCs w:val="24"/>
        </w:rPr>
        <w:t xml:space="preserve">Compliance with </w:t>
      </w:r>
      <w:hyperlink r:id="rId23" w:history="1">
        <w:r w:rsidRPr="008E5998">
          <w:rPr>
            <w:rStyle w:val="Hyperlink"/>
            <w:rFonts w:ascii="Arial" w:hAnsi="Arial" w:cs="Arial"/>
            <w:sz w:val="24"/>
            <w:szCs w:val="24"/>
          </w:rPr>
          <w:t>2 CFR Part 200</w:t>
        </w:r>
      </w:hyperlink>
    </w:p>
    <w:p w14:paraId="2936C19C" w14:textId="77777777" w:rsidR="00055A67" w:rsidRPr="008E5998" w:rsidRDefault="00055A67" w:rsidP="00055A67">
      <w:pPr>
        <w:pStyle w:val="ListParagraph"/>
        <w:numPr>
          <w:ilvl w:val="1"/>
          <w:numId w:val="29"/>
        </w:numPr>
        <w:rPr>
          <w:rFonts w:ascii="Arial" w:hAnsi="Arial" w:cs="Arial"/>
          <w:sz w:val="24"/>
          <w:szCs w:val="24"/>
        </w:rPr>
      </w:pPr>
      <w:r w:rsidRPr="008E5998">
        <w:rPr>
          <w:rFonts w:ascii="Arial" w:hAnsi="Arial" w:cs="Arial"/>
          <w:sz w:val="24"/>
          <w:szCs w:val="24"/>
        </w:rPr>
        <w:t xml:space="preserve">Compliance with </w:t>
      </w:r>
      <w:hyperlink r:id="rId24" w:history="1">
        <w:r w:rsidRPr="008E5998">
          <w:rPr>
            <w:rStyle w:val="Hyperlink"/>
            <w:rFonts w:ascii="Arial" w:hAnsi="Arial" w:cs="Arial"/>
            <w:sz w:val="24"/>
            <w:szCs w:val="24"/>
          </w:rPr>
          <w:t>24 CFR Part 570</w:t>
        </w:r>
      </w:hyperlink>
    </w:p>
    <w:p w14:paraId="34AE36C5" w14:textId="77777777" w:rsidR="00055A67" w:rsidRPr="008E5998" w:rsidRDefault="00055A67" w:rsidP="00055A67">
      <w:pPr>
        <w:pStyle w:val="ListParagraph"/>
        <w:numPr>
          <w:ilvl w:val="0"/>
          <w:numId w:val="29"/>
        </w:numPr>
        <w:rPr>
          <w:rFonts w:ascii="Arial" w:hAnsi="Arial" w:cs="Arial"/>
          <w:sz w:val="24"/>
          <w:szCs w:val="24"/>
        </w:rPr>
      </w:pPr>
      <w:r w:rsidRPr="008E5998">
        <w:rPr>
          <w:rFonts w:ascii="Arial" w:hAnsi="Arial" w:cs="Arial"/>
          <w:sz w:val="24"/>
          <w:szCs w:val="24"/>
        </w:rPr>
        <w:t>Quarterly Reporting</w:t>
      </w:r>
    </w:p>
    <w:p w14:paraId="1A77E6C8" w14:textId="77777777" w:rsidR="00055A67" w:rsidRPr="008E5998" w:rsidRDefault="00055A67" w:rsidP="00055A67">
      <w:pPr>
        <w:pStyle w:val="ListParagraph"/>
        <w:numPr>
          <w:ilvl w:val="0"/>
          <w:numId w:val="29"/>
        </w:numPr>
        <w:rPr>
          <w:rFonts w:ascii="Arial" w:hAnsi="Arial" w:cs="Arial"/>
          <w:sz w:val="24"/>
          <w:szCs w:val="24"/>
        </w:rPr>
      </w:pPr>
      <w:r w:rsidRPr="008E5998">
        <w:rPr>
          <w:rFonts w:ascii="Arial" w:hAnsi="Arial" w:cs="Arial"/>
          <w:sz w:val="24"/>
          <w:szCs w:val="24"/>
        </w:rPr>
        <w:t xml:space="preserve">Reimbursement Requests </w:t>
      </w:r>
    </w:p>
    <w:p w14:paraId="2D431338" w14:textId="77777777" w:rsidR="00502BDB" w:rsidRDefault="00502BDB" w:rsidP="00502BDB">
      <w:pPr>
        <w:pStyle w:val="ListParagraph"/>
        <w:ind w:left="1500"/>
        <w:rPr>
          <w:rFonts w:ascii="Arial" w:hAnsi="Arial" w:cs="Arial"/>
          <w:sz w:val="24"/>
          <w:szCs w:val="24"/>
        </w:rPr>
      </w:pPr>
    </w:p>
    <w:p w14:paraId="04DD3783" w14:textId="5E3B8AA7" w:rsidR="00055A67" w:rsidRPr="008E5998" w:rsidRDefault="00055A67" w:rsidP="00055A67">
      <w:pPr>
        <w:pStyle w:val="ListParagraph"/>
        <w:numPr>
          <w:ilvl w:val="1"/>
          <w:numId w:val="29"/>
        </w:numPr>
        <w:rPr>
          <w:rFonts w:ascii="Arial" w:hAnsi="Arial" w:cs="Arial"/>
          <w:sz w:val="24"/>
          <w:szCs w:val="24"/>
        </w:rPr>
      </w:pPr>
      <w:r w:rsidRPr="008E5998">
        <w:rPr>
          <w:rFonts w:ascii="Arial" w:hAnsi="Arial" w:cs="Arial"/>
          <w:sz w:val="24"/>
          <w:szCs w:val="24"/>
        </w:rPr>
        <w:t xml:space="preserve">Reimbursement requests must be made on a monthly or quarterly basis. </w:t>
      </w:r>
    </w:p>
    <w:p w14:paraId="35A7608D" w14:textId="77777777" w:rsidR="00055A67" w:rsidRPr="008E5998" w:rsidRDefault="00055A67" w:rsidP="00055A67">
      <w:pPr>
        <w:pStyle w:val="ListParagraph"/>
        <w:numPr>
          <w:ilvl w:val="1"/>
          <w:numId w:val="29"/>
        </w:numPr>
        <w:rPr>
          <w:rFonts w:ascii="Arial" w:hAnsi="Arial" w:cs="Arial"/>
          <w:sz w:val="24"/>
          <w:szCs w:val="24"/>
        </w:rPr>
      </w:pPr>
      <w:r w:rsidRPr="008E5998">
        <w:rPr>
          <w:rFonts w:ascii="Arial" w:hAnsi="Arial" w:cs="Arial"/>
          <w:sz w:val="24"/>
          <w:szCs w:val="24"/>
        </w:rPr>
        <w:t xml:space="preserve">All reimbursement requests must have adequate documentation to show accurate and eligible costs. </w:t>
      </w:r>
    </w:p>
    <w:p w14:paraId="712FD165" w14:textId="77777777" w:rsidR="00055A67" w:rsidRPr="008E5998" w:rsidRDefault="00055A67" w:rsidP="00055A67">
      <w:pPr>
        <w:pStyle w:val="ListParagraph"/>
        <w:numPr>
          <w:ilvl w:val="1"/>
          <w:numId w:val="29"/>
        </w:numPr>
        <w:rPr>
          <w:rFonts w:ascii="Arial" w:hAnsi="Arial" w:cs="Arial"/>
          <w:sz w:val="24"/>
          <w:szCs w:val="24"/>
        </w:rPr>
      </w:pPr>
      <w:r w:rsidRPr="008E5998">
        <w:rPr>
          <w:rFonts w:ascii="Arial" w:hAnsi="Arial" w:cs="Arial"/>
          <w:sz w:val="24"/>
          <w:szCs w:val="24"/>
        </w:rPr>
        <w:t>Reimbursement requests will not be processed unless sufficient documentation to support the reimbursement request is provided. Additionally, reimbursement requests will not be processed unless quarterly reports are complete and submitted.</w:t>
      </w:r>
    </w:p>
    <w:p w14:paraId="5280F72B" w14:textId="77777777" w:rsidR="00055A67" w:rsidRPr="008E5998" w:rsidRDefault="00055A67" w:rsidP="00055A67">
      <w:pPr>
        <w:pStyle w:val="ListParagraph"/>
        <w:numPr>
          <w:ilvl w:val="0"/>
          <w:numId w:val="29"/>
        </w:numPr>
        <w:rPr>
          <w:rFonts w:ascii="Arial" w:hAnsi="Arial" w:cs="Arial"/>
          <w:sz w:val="24"/>
          <w:szCs w:val="24"/>
        </w:rPr>
      </w:pPr>
      <w:r w:rsidRPr="008E5998">
        <w:rPr>
          <w:rFonts w:ascii="Arial" w:hAnsi="Arial" w:cs="Arial"/>
          <w:sz w:val="24"/>
          <w:szCs w:val="24"/>
        </w:rPr>
        <w:t xml:space="preserve">Annual Monitoring by City Staff </w:t>
      </w:r>
    </w:p>
    <w:p w14:paraId="3897009E" w14:textId="77777777" w:rsidR="00055A67" w:rsidRPr="008E5998" w:rsidRDefault="00055A67" w:rsidP="00055A67">
      <w:pPr>
        <w:pStyle w:val="ListParagraph"/>
        <w:numPr>
          <w:ilvl w:val="1"/>
          <w:numId w:val="29"/>
        </w:numPr>
        <w:rPr>
          <w:rFonts w:ascii="Arial" w:hAnsi="Arial" w:cs="Arial"/>
          <w:sz w:val="24"/>
          <w:szCs w:val="24"/>
        </w:rPr>
      </w:pPr>
      <w:r w:rsidRPr="008E5998">
        <w:rPr>
          <w:rFonts w:ascii="Arial" w:hAnsi="Arial" w:cs="Arial"/>
          <w:sz w:val="24"/>
          <w:szCs w:val="24"/>
        </w:rPr>
        <w:t xml:space="preserve">Full scale monitorings occur on a one-, two-, or three-year basis depending on the subrecipient’s performance on the most recent monitoring. This involves a detailed review of the organization’s policies, procedures, financial records, procurement records, funded program/project performance, structure of the funded program/project, and other relevant information to ensure compliance with applicable Federal, state, and local regulations. </w:t>
      </w:r>
    </w:p>
    <w:p w14:paraId="13FF78A1" w14:textId="77777777" w:rsidR="00055A67" w:rsidRPr="008E5998" w:rsidRDefault="00055A67" w:rsidP="00055A67">
      <w:pPr>
        <w:pStyle w:val="ListParagraph"/>
        <w:numPr>
          <w:ilvl w:val="1"/>
          <w:numId w:val="29"/>
        </w:numPr>
        <w:rPr>
          <w:rFonts w:ascii="Arial" w:hAnsi="Arial" w:cs="Arial"/>
          <w:sz w:val="24"/>
          <w:szCs w:val="24"/>
        </w:rPr>
      </w:pPr>
      <w:r w:rsidRPr="008E5998">
        <w:rPr>
          <w:rFonts w:ascii="Arial" w:hAnsi="Arial" w:cs="Arial"/>
          <w:sz w:val="24"/>
          <w:szCs w:val="24"/>
        </w:rPr>
        <w:t xml:space="preserve">Regardless of the timing of full scale monitorings, City staff will conduct periodic financial or procurement compliance reviews. These reviews are smaller in nature and focus on a specific financial transaction (or set of transactions) or procurement. </w:t>
      </w:r>
    </w:p>
    <w:p w14:paraId="4AC37A0D" w14:textId="77777777" w:rsidR="00055A67" w:rsidRPr="008E5998" w:rsidRDefault="00055A67" w:rsidP="00055A67">
      <w:pPr>
        <w:pStyle w:val="ListParagraph"/>
        <w:numPr>
          <w:ilvl w:val="0"/>
          <w:numId w:val="29"/>
        </w:numPr>
        <w:rPr>
          <w:rFonts w:ascii="Arial" w:hAnsi="Arial" w:cs="Arial"/>
          <w:sz w:val="24"/>
          <w:szCs w:val="24"/>
        </w:rPr>
      </w:pPr>
      <w:r w:rsidRPr="008E5998">
        <w:rPr>
          <w:rFonts w:ascii="Arial" w:hAnsi="Arial" w:cs="Arial"/>
          <w:sz w:val="24"/>
          <w:szCs w:val="24"/>
        </w:rPr>
        <w:t>Maintaining Records to Demonstrate Compliance with Applicable Federal, State, and Local Regulations</w:t>
      </w:r>
    </w:p>
    <w:p w14:paraId="482E1C17" w14:textId="77777777" w:rsidR="00055A67" w:rsidRPr="008E5998" w:rsidRDefault="00055A67" w:rsidP="00055A67">
      <w:pPr>
        <w:pStyle w:val="ListParagraph"/>
        <w:numPr>
          <w:ilvl w:val="1"/>
          <w:numId w:val="29"/>
        </w:numPr>
        <w:rPr>
          <w:rFonts w:ascii="Arial" w:hAnsi="Arial" w:cs="Arial"/>
          <w:sz w:val="24"/>
          <w:szCs w:val="24"/>
        </w:rPr>
      </w:pPr>
      <w:hyperlink r:id="rId25" w:history="1">
        <w:r w:rsidRPr="008E5998">
          <w:rPr>
            <w:rStyle w:val="Hyperlink"/>
            <w:rFonts w:ascii="Arial" w:hAnsi="Arial" w:cs="Arial"/>
            <w:sz w:val="24"/>
            <w:szCs w:val="24"/>
          </w:rPr>
          <w:t>24 CFR 570.506</w:t>
        </w:r>
      </w:hyperlink>
      <w:r w:rsidRPr="008E5998">
        <w:rPr>
          <w:rFonts w:ascii="Arial" w:hAnsi="Arial" w:cs="Arial"/>
          <w:sz w:val="24"/>
          <w:szCs w:val="24"/>
        </w:rPr>
        <w:t xml:space="preserve"> outlines record requirements to demonstrate compliance with a CDBG National Objective. </w:t>
      </w:r>
    </w:p>
    <w:p w14:paraId="33E62AC5" w14:textId="7823F08C" w:rsidR="00A36324" w:rsidRPr="008E5998" w:rsidRDefault="00A36324" w:rsidP="00E153AB">
      <w:pPr>
        <w:pStyle w:val="ListParagraph"/>
        <w:numPr>
          <w:ilvl w:val="0"/>
          <w:numId w:val="29"/>
        </w:numPr>
        <w:rPr>
          <w:rFonts w:ascii="Arial" w:hAnsi="Arial" w:cs="Arial"/>
          <w:sz w:val="24"/>
          <w:szCs w:val="24"/>
        </w:rPr>
      </w:pPr>
      <w:r w:rsidRPr="008E5998">
        <w:rPr>
          <w:rFonts w:ascii="Arial" w:hAnsi="Arial" w:cs="Arial"/>
          <w:sz w:val="24"/>
          <w:szCs w:val="24"/>
        </w:rPr>
        <w:t>Enforcement of Davis-Bacon Standards</w:t>
      </w:r>
    </w:p>
    <w:p w14:paraId="6C0E4DA2" w14:textId="63A2A1D7" w:rsidR="00A36324" w:rsidRPr="008E5998" w:rsidRDefault="006D3595" w:rsidP="00A36324">
      <w:pPr>
        <w:pStyle w:val="ListParagraph"/>
        <w:numPr>
          <w:ilvl w:val="1"/>
          <w:numId w:val="29"/>
        </w:numPr>
        <w:rPr>
          <w:rFonts w:ascii="Arial" w:hAnsi="Arial" w:cs="Arial"/>
          <w:sz w:val="24"/>
          <w:szCs w:val="24"/>
        </w:rPr>
      </w:pPr>
      <w:hyperlink r:id="rId26" w:history="1">
        <w:r w:rsidRPr="008E5998">
          <w:rPr>
            <w:rStyle w:val="Hyperlink"/>
            <w:rFonts w:ascii="Arial" w:hAnsi="Arial" w:cs="Arial"/>
            <w:sz w:val="24"/>
            <w:szCs w:val="24"/>
          </w:rPr>
          <w:t>Davis-Bacon and Labor Standards - HUD Exchange</w:t>
        </w:r>
      </w:hyperlink>
    </w:p>
    <w:p w14:paraId="53100DC1" w14:textId="4C280B4A" w:rsidR="006D3595" w:rsidRPr="008E5998" w:rsidRDefault="006D3595" w:rsidP="00A36324">
      <w:pPr>
        <w:pStyle w:val="ListParagraph"/>
        <w:numPr>
          <w:ilvl w:val="1"/>
          <w:numId w:val="29"/>
        </w:numPr>
        <w:rPr>
          <w:rFonts w:ascii="Arial" w:hAnsi="Arial" w:cs="Arial"/>
          <w:sz w:val="24"/>
          <w:szCs w:val="24"/>
        </w:rPr>
      </w:pPr>
      <w:r w:rsidRPr="008E5998">
        <w:rPr>
          <w:rFonts w:ascii="Arial" w:hAnsi="Arial" w:cs="Arial"/>
          <w:sz w:val="24"/>
          <w:szCs w:val="24"/>
        </w:rPr>
        <w:t xml:space="preserve">The City will require </w:t>
      </w:r>
      <w:r w:rsidR="000025C6" w:rsidRPr="008E5998">
        <w:rPr>
          <w:rFonts w:ascii="Arial" w:hAnsi="Arial" w:cs="Arial"/>
          <w:sz w:val="24"/>
          <w:szCs w:val="24"/>
        </w:rPr>
        <w:t>copie</w:t>
      </w:r>
      <w:r w:rsidR="004A2CB4" w:rsidRPr="008E5998">
        <w:rPr>
          <w:rFonts w:ascii="Arial" w:hAnsi="Arial" w:cs="Arial"/>
          <w:sz w:val="24"/>
          <w:szCs w:val="24"/>
        </w:rPr>
        <w:t xml:space="preserve">s of </w:t>
      </w:r>
      <w:r w:rsidRPr="008E5998">
        <w:rPr>
          <w:rFonts w:ascii="Arial" w:hAnsi="Arial" w:cs="Arial"/>
          <w:sz w:val="24"/>
          <w:szCs w:val="24"/>
        </w:rPr>
        <w:t>certified payrolls</w:t>
      </w:r>
      <w:r w:rsidR="004A2CB4" w:rsidRPr="008E5998">
        <w:rPr>
          <w:rFonts w:ascii="Arial" w:hAnsi="Arial" w:cs="Arial"/>
          <w:sz w:val="24"/>
          <w:szCs w:val="24"/>
        </w:rPr>
        <w:t xml:space="preserve"> submitted to the Illinois Department of Labor</w:t>
      </w:r>
      <w:r w:rsidRPr="008E5998">
        <w:rPr>
          <w:rFonts w:ascii="Arial" w:hAnsi="Arial" w:cs="Arial"/>
          <w:sz w:val="24"/>
          <w:szCs w:val="24"/>
        </w:rPr>
        <w:t xml:space="preserve"> to be </w:t>
      </w:r>
      <w:r w:rsidR="004A2CB4" w:rsidRPr="008E5998">
        <w:rPr>
          <w:rFonts w:ascii="Arial" w:hAnsi="Arial" w:cs="Arial"/>
          <w:sz w:val="24"/>
          <w:szCs w:val="24"/>
        </w:rPr>
        <w:t>documented</w:t>
      </w:r>
      <w:r w:rsidRPr="008E5998">
        <w:rPr>
          <w:rFonts w:ascii="Arial" w:hAnsi="Arial" w:cs="Arial"/>
          <w:sz w:val="24"/>
          <w:szCs w:val="24"/>
        </w:rPr>
        <w:t xml:space="preserve"> before reimbursement requests are approved. Additionally, </w:t>
      </w:r>
      <w:r w:rsidR="004A2CB4" w:rsidRPr="008E5998">
        <w:rPr>
          <w:rFonts w:ascii="Arial" w:hAnsi="Arial" w:cs="Arial"/>
          <w:sz w:val="24"/>
          <w:szCs w:val="24"/>
        </w:rPr>
        <w:t xml:space="preserve">the subrecipient is responsible for </w:t>
      </w:r>
      <w:r w:rsidR="0016017E" w:rsidRPr="008E5998">
        <w:rPr>
          <w:rFonts w:ascii="Arial" w:hAnsi="Arial" w:cs="Arial"/>
          <w:sz w:val="24"/>
          <w:szCs w:val="24"/>
        </w:rPr>
        <w:t xml:space="preserve">documenting the appropriate wage determination schedule used for the project. </w:t>
      </w:r>
    </w:p>
    <w:p w14:paraId="584499D6" w14:textId="2A0C4600" w:rsidR="00E153AB" w:rsidRPr="008E5998" w:rsidRDefault="009863D0" w:rsidP="00E153AB">
      <w:pPr>
        <w:pStyle w:val="ListParagraph"/>
        <w:numPr>
          <w:ilvl w:val="0"/>
          <w:numId w:val="29"/>
        </w:numPr>
        <w:rPr>
          <w:rFonts w:ascii="Arial" w:hAnsi="Arial" w:cs="Arial"/>
          <w:sz w:val="24"/>
          <w:szCs w:val="24"/>
        </w:rPr>
      </w:pPr>
      <w:r w:rsidRPr="008E5998">
        <w:rPr>
          <w:rFonts w:ascii="Arial" w:hAnsi="Arial" w:cs="Arial"/>
          <w:sz w:val="24"/>
          <w:szCs w:val="24"/>
        </w:rPr>
        <w:t>Execution of Environmental Review Mitigations</w:t>
      </w:r>
      <w:r w:rsidR="00065974" w:rsidRPr="008E5998">
        <w:rPr>
          <w:rFonts w:ascii="Arial" w:hAnsi="Arial" w:cs="Arial"/>
          <w:sz w:val="24"/>
          <w:szCs w:val="24"/>
        </w:rPr>
        <w:t xml:space="preserve"> (If Required)</w:t>
      </w:r>
      <w:r w:rsidRPr="008E5998">
        <w:rPr>
          <w:rFonts w:ascii="Arial" w:hAnsi="Arial" w:cs="Arial"/>
          <w:sz w:val="24"/>
          <w:szCs w:val="24"/>
        </w:rPr>
        <w:t xml:space="preserve"> </w:t>
      </w:r>
    </w:p>
    <w:p w14:paraId="680569BF" w14:textId="77777777" w:rsidR="00425670" w:rsidRDefault="00425670" w:rsidP="00425670">
      <w:pPr>
        <w:pStyle w:val="ListParagraph"/>
        <w:ind w:left="1500"/>
        <w:rPr>
          <w:rFonts w:ascii="Arial" w:hAnsi="Arial" w:cs="Arial"/>
          <w:sz w:val="24"/>
          <w:szCs w:val="24"/>
        </w:rPr>
      </w:pPr>
    </w:p>
    <w:p w14:paraId="0B1B8E6F" w14:textId="77E35A20" w:rsidR="009863D0" w:rsidRPr="008E5998" w:rsidRDefault="00065974" w:rsidP="009863D0">
      <w:pPr>
        <w:pStyle w:val="ListParagraph"/>
        <w:numPr>
          <w:ilvl w:val="1"/>
          <w:numId w:val="29"/>
        </w:numPr>
        <w:rPr>
          <w:rFonts w:ascii="Arial" w:hAnsi="Arial" w:cs="Arial"/>
          <w:sz w:val="24"/>
          <w:szCs w:val="24"/>
        </w:rPr>
      </w:pPr>
      <w:hyperlink r:id="rId27" w:history="1">
        <w:r w:rsidRPr="008E5998">
          <w:rPr>
            <w:rStyle w:val="Hyperlink"/>
            <w:rFonts w:ascii="Arial" w:hAnsi="Arial" w:cs="Arial"/>
            <w:sz w:val="24"/>
            <w:szCs w:val="24"/>
          </w:rPr>
          <w:t>Environmental Review Federal Related Laws and Authorities - HUD Exchange</w:t>
        </w:r>
      </w:hyperlink>
    </w:p>
    <w:p w14:paraId="54A5FDAE" w14:textId="77777777" w:rsidR="0034693B" w:rsidRDefault="0034693B" w:rsidP="00915254">
      <w:pPr>
        <w:rPr>
          <w:rFonts w:ascii="Arial" w:hAnsi="Arial" w:cs="Arial"/>
          <w:sz w:val="24"/>
          <w:szCs w:val="24"/>
          <w:u w:val="single"/>
        </w:rPr>
      </w:pPr>
    </w:p>
    <w:p w14:paraId="70774BF9" w14:textId="3D6E89B7" w:rsidR="00915254" w:rsidRPr="008E5998" w:rsidRDefault="00915254" w:rsidP="00915254">
      <w:pPr>
        <w:rPr>
          <w:rFonts w:ascii="Arial" w:hAnsi="Arial" w:cs="Arial"/>
          <w:sz w:val="24"/>
          <w:szCs w:val="24"/>
          <w:u w:val="single"/>
        </w:rPr>
      </w:pPr>
      <w:r w:rsidRPr="008E5998">
        <w:rPr>
          <w:rFonts w:ascii="Arial" w:hAnsi="Arial" w:cs="Arial"/>
          <w:sz w:val="24"/>
          <w:szCs w:val="24"/>
          <w:u w:val="single"/>
        </w:rPr>
        <w:t>City of Bloomington CDBG Program Year 202</w:t>
      </w:r>
      <w:r w:rsidR="00E53A80" w:rsidRPr="008E5998">
        <w:rPr>
          <w:rFonts w:ascii="Arial" w:hAnsi="Arial" w:cs="Arial"/>
          <w:sz w:val="24"/>
          <w:szCs w:val="24"/>
          <w:u w:val="single"/>
        </w:rPr>
        <w:t>5</w:t>
      </w:r>
      <w:r w:rsidRPr="008E5998">
        <w:rPr>
          <w:rFonts w:ascii="Arial" w:hAnsi="Arial" w:cs="Arial"/>
          <w:sz w:val="24"/>
          <w:szCs w:val="24"/>
          <w:u w:val="single"/>
        </w:rPr>
        <w:t xml:space="preserve"> RFP Information Session</w:t>
      </w:r>
    </w:p>
    <w:p w14:paraId="2BAA7789" w14:textId="534A2477" w:rsidR="00915254" w:rsidRPr="008E5998" w:rsidRDefault="00915254" w:rsidP="00915254">
      <w:pPr>
        <w:rPr>
          <w:rFonts w:ascii="Arial" w:hAnsi="Arial" w:cs="Arial"/>
          <w:sz w:val="24"/>
          <w:szCs w:val="24"/>
        </w:rPr>
      </w:pPr>
      <w:r w:rsidRPr="008E5998">
        <w:rPr>
          <w:rFonts w:ascii="Arial" w:hAnsi="Arial" w:cs="Arial"/>
          <w:sz w:val="24"/>
          <w:szCs w:val="24"/>
        </w:rPr>
        <w:t>The City of Bloomington will host a virtual information session for the Program 202</w:t>
      </w:r>
      <w:r w:rsidR="00E53A80" w:rsidRPr="008E5998">
        <w:rPr>
          <w:rFonts w:ascii="Arial" w:hAnsi="Arial" w:cs="Arial"/>
          <w:sz w:val="24"/>
          <w:szCs w:val="24"/>
        </w:rPr>
        <w:t>5</w:t>
      </w:r>
      <w:r w:rsidRPr="008E5998">
        <w:rPr>
          <w:rFonts w:ascii="Arial" w:hAnsi="Arial" w:cs="Arial"/>
          <w:sz w:val="24"/>
          <w:szCs w:val="24"/>
        </w:rPr>
        <w:t xml:space="preserve"> CDBG program on </w:t>
      </w:r>
      <w:r w:rsidR="007804B2" w:rsidRPr="008E5998">
        <w:rPr>
          <w:rFonts w:ascii="Arial" w:hAnsi="Arial" w:cs="Arial"/>
          <w:sz w:val="24"/>
          <w:szCs w:val="24"/>
        </w:rPr>
        <w:t>Wednesday</w:t>
      </w:r>
      <w:r w:rsidRPr="008E5998">
        <w:rPr>
          <w:rFonts w:ascii="Arial" w:hAnsi="Arial" w:cs="Arial"/>
          <w:sz w:val="24"/>
          <w:szCs w:val="24"/>
        </w:rPr>
        <w:t xml:space="preserve">, November </w:t>
      </w:r>
      <w:r w:rsidR="007804B2" w:rsidRPr="008E5998">
        <w:rPr>
          <w:rFonts w:ascii="Arial" w:hAnsi="Arial" w:cs="Arial"/>
          <w:sz w:val="24"/>
          <w:szCs w:val="24"/>
        </w:rPr>
        <w:t>19</w:t>
      </w:r>
      <w:r w:rsidRPr="008E5998">
        <w:rPr>
          <w:rFonts w:ascii="Arial" w:hAnsi="Arial" w:cs="Arial"/>
          <w:sz w:val="24"/>
          <w:szCs w:val="24"/>
        </w:rPr>
        <w:t>, 202</w:t>
      </w:r>
      <w:r w:rsidR="00540264" w:rsidRPr="008E5998">
        <w:rPr>
          <w:rFonts w:ascii="Arial" w:hAnsi="Arial" w:cs="Arial"/>
          <w:sz w:val="24"/>
          <w:szCs w:val="24"/>
        </w:rPr>
        <w:t>5</w:t>
      </w:r>
      <w:r w:rsidRPr="008E5998">
        <w:rPr>
          <w:rFonts w:ascii="Arial" w:hAnsi="Arial" w:cs="Arial"/>
          <w:sz w:val="24"/>
          <w:szCs w:val="24"/>
        </w:rPr>
        <w:t>, at 10AM. Attendance is not mandatory for applicants, but attendance is strongly encouraged. The Zoom information for the meeting is below.</w:t>
      </w:r>
    </w:p>
    <w:p w14:paraId="509FBC90" w14:textId="77777777" w:rsidR="00502BDB" w:rsidRDefault="00502BDB" w:rsidP="00DE1EF3">
      <w:pPr>
        <w:rPr>
          <w:rFonts w:ascii="Arial" w:hAnsi="Arial" w:cs="Arial"/>
          <w:sz w:val="24"/>
          <w:szCs w:val="24"/>
        </w:rPr>
      </w:pPr>
    </w:p>
    <w:p w14:paraId="123B9A4D" w14:textId="01450A10" w:rsidR="00DE1EF3" w:rsidRPr="00DE1EF3" w:rsidRDefault="00DE1EF3" w:rsidP="00DE1EF3">
      <w:pPr>
        <w:rPr>
          <w:rFonts w:ascii="Arial" w:hAnsi="Arial" w:cs="Arial"/>
          <w:sz w:val="24"/>
          <w:szCs w:val="24"/>
        </w:rPr>
      </w:pPr>
      <w:r w:rsidRPr="00DE1EF3">
        <w:rPr>
          <w:rFonts w:ascii="Arial" w:hAnsi="Arial" w:cs="Arial"/>
          <w:sz w:val="24"/>
          <w:szCs w:val="24"/>
        </w:rPr>
        <w:t xml:space="preserve">Link: </w:t>
      </w:r>
      <w:hyperlink r:id="rId28" w:history="1">
        <w:r w:rsidRPr="00DE1EF3">
          <w:rPr>
            <w:rStyle w:val="Hyperlink"/>
            <w:rFonts w:ascii="Arial" w:hAnsi="Arial" w:cs="Arial"/>
            <w:sz w:val="24"/>
            <w:szCs w:val="24"/>
          </w:rPr>
          <w:t>https://us06web.zoom.us/j/82023505851</w:t>
        </w:r>
      </w:hyperlink>
      <w:r w:rsidRPr="00DE1EF3">
        <w:rPr>
          <w:rFonts w:ascii="Arial" w:hAnsi="Arial" w:cs="Arial"/>
          <w:sz w:val="24"/>
          <w:szCs w:val="24"/>
        </w:rPr>
        <w:t xml:space="preserve"> </w:t>
      </w:r>
    </w:p>
    <w:p w14:paraId="139B3B11" w14:textId="77777777" w:rsidR="00DE1EF3" w:rsidRPr="00DE1EF3" w:rsidRDefault="00DE1EF3" w:rsidP="00DE1EF3">
      <w:pPr>
        <w:rPr>
          <w:rFonts w:ascii="Arial" w:hAnsi="Arial" w:cs="Arial"/>
          <w:sz w:val="24"/>
          <w:szCs w:val="24"/>
        </w:rPr>
      </w:pPr>
      <w:r w:rsidRPr="00DE1EF3">
        <w:rPr>
          <w:rFonts w:ascii="Arial" w:hAnsi="Arial" w:cs="Arial"/>
          <w:sz w:val="24"/>
          <w:szCs w:val="24"/>
        </w:rPr>
        <w:t>Meeting ID: 820 2350 5851</w:t>
      </w:r>
    </w:p>
    <w:p w14:paraId="4535AC67" w14:textId="77777777" w:rsidR="00DE1EF3" w:rsidRPr="00DE1EF3" w:rsidRDefault="00DE1EF3" w:rsidP="00DE1EF3">
      <w:pPr>
        <w:rPr>
          <w:rFonts w:ascii="Arial" w:hAnsi="Arial" w:cs="Arial"/>
          <w:sz w:val="24"/>
          <w:szCs w:val="24"/>
        </w:rPr>
      </w:pPr>
      <w:r w:rsidRPr="00DE1EF3">
        <w:rPr>
          <w:rFonts w:ascii="Arial" w:hAnsi="Arial" w:cs="Arial"/>
          <w:sz w:val="24"/>
          <w:szCs w:val="24"/>
        </w:rPr>
        <w:t>One tap mobile</w:t>
      </w:r>
    </w:p>
    <w:p w14:paraId="3723D238" w14:textId="77777777" w:rsidR="00DE1EF3" w:rsidRPr="00DE1EF3" w:rsidRDefault="00DE1EF3" w:rsidP="00DE1EF3">
      <w:pPr>
        <w:rPr>
          <w:rFonts w:ascii="Arial" w:hAnsi="Arial" w:cs="Arial"/>
          <w:sz w:val="24"/>
          <w:szCs w:val="24"/>
        </w:rPr>
      </w:pPr>
      <w:r w:rsidRPr="00DE1EF3">
        <w:rPr>
          <w:rFonts w:ascii="Arial" w:hAnsi="Arial" w:cs="Arial"/>
          <w:sz w:val="24"/>
          <w:szCs w:val="24"/>
        </w:rPr>
        <w:t>+13126266799,,82023505851# US (Chicago)</w:t>
      </w:r>
    </w:p>
    <w:p w14:paraId="74449046" w14:textId="77777777" w:rsidR="00DE1EF3" w:rsidRPr="00DE1EF3" w:rsidRDefault="00DE1EF3" w:rsidP="00DE1EF3">
      <w:pPr>
        <w:rPr>
          <w:rFonts w:ascii="Arial" w:hAnsi="Arial" w:cs="Arial"/>
          <w:sz w:val="24"/>
          <w:szCs w:val="24"/>
        </w:rPr>
      </w:pPr>
      <w:r w:rsidRPr="00DE1EF3">
        <w:rPr>
          <w:rFonts w:ascii="Arial" w:hAnsi="Arial" w:cs="Arial"/>
          <w:sz w:val="24"/>
          <w:szCs w:val="24"/>
        </w:rPr>
        <w:t>+13092053325,,82023505851# US</w:t>
      </w:r>
    </w:p>
    <w:p w14:paraId="23F9336E" w14:textId="77777777" w:rsidR="00540264" w:rsidRPr="008E5998" w:rsidRDefault="00540264" w:rsidP="00915254">
      <w:pPr>
        <w:rPr>
          <w:rFonts w:ascii="Arial" w:hAnsi="Arial" w:cs="Arial"/>
          <w:sz w:val="24"/>
          <w:szCs w:val="24"/>
          <w:u w:val="single"/>
        </w:rPr>
      </w:pPr>
    </w:p>
    <w:p w14:paraId="6B9E1250" w14:textId="77777777" w:rsidR="00915254" w:rsidRPr="008E5998" w:rsidRDefault="00915254" w:rsidP="00915254">
      <w:pPr>
        <w:rPr>
          <w:rFonts w:ascii="Arial" w:hAnsi="Arial" w:cs="Arial"/>
          <w:sz w:val="24"/>
          <w:szCs w:val="24"/>
          <w:u w:val="single"/>
        </w:rPr>
      </w:pPr>
      <w:r w:rsidRPr="008E5998">
        <w:rPr>
          <w:rFonts w:ascii="Arial" w:hAnsi="Arial" w:cs="Arial"/>
          <w:sz w:val="24"/>
          <w:szCs w:val="24"/>
          <w:u w:val="single"/>
        </w:rPr>
        <w:t>Additional Information and Resources</w:t>
      </w:r>
    </w:p>
    <w:p w14:paraId="71D1BB7E" w14:textId="77777777" w:rsidR="00AE17C2" w:rsidRPr="008E5998" w:rsidRDefault="00AE17C2" w:rsidP="00AE17C2">
      <w:pPr>
        <w:pStyle w:val="ListParagraph"/>
        <w:numPr>
          <w:ilvl w:val="0"/>
          <w:numId w:val="30"/>
        </w:numPr>
        <w:rPr>
          <w:rFonts w:ascii="Arial" w:hAnsi="Arial" w:cs="Arial"/>
          <w:sz w:val="24"/>
          <w:szCs w:val="24"/>
          <w:u w:val="single"/>
        </w:rPr>
      </w:pPr>
      <w:hyperlink r:id="rId29" w:history="1">
        <w:r w:rsidRPr="008E5998">
          <w:rPr>
            <w:rStyle w:val="Hyperlink"/>
            <w:rFonts w:ascii="Arial" w:hAnsi="Arial" w:cs="Arial"/>
            <w:sz w:val="24"/>
            <w:szCs w:val="24"/>
          </w:rPr>
          <w:t>Community Development Block Grant | City of Bloomington, Illinois</w:t>
        </w:r>
      </w:hyperlink>
    </w:p>
    <w:p w14:paraId="1612D314" w14:textId="77777777" w:rsidR="00AE17C2" w:rsidRPr="008E5998" w:rsidRDefault="00AE17C2" w:rsidP="00AE17C2">
      <w:pPr>
        <w:pStyle w:val="ListParagraph"/>
        <w:numPr>
          <w:ilvl w:val="0"/>
          <w:numId w:val="30"/>
        </w:numPr>
        <w:rPr>
          <w:rFonts w:ascii="Arial" w:hAnsi="Arial" w:cs="Arial"/>
          <w:sz w:val="24"/>
          <w:szCs w:val="24"/>
          <w:u w:val="single"/>
        </w:rPr>
      </w:pPr>
      <w:hyperlink r:id="rId30" w:history="1">
        <w:r w:rsidRPr="008E5998">
          <w:rPr>
            <w:rStyle w:val="Hyperlink"/>
            <w:rFonts w:ascii="Arial" w:hAnsi="Arial" w:cs="Arial"/>
            <w:sz w:val="24"/>
            <w:szCs w:val="24"/>
          </w:rPr>
          <w:t>Grant Resources &amp; Forms | City of Bloomington, Illinois</w:t>
        </w:r>
      </w:hyperlink>
    </w:p>
    <w:p w14:paraId="6B3854F2" w14:textId="77777777" w:rsidR="00AE17C2" w:rsidRPr="008E5998" w:rsidRDefault="00AE17C2" w:rsidP="00AE17C2">
      <w:pPr>
        <w:pStyle w:val="ListParagraph"/>
        <w:numPr>
          <w:ilvl w:val="0"/>
          <w:numId w:val="30"/>
        </w:numPr>
        <w:rPr>
          <w:rFonts w:ascii="Arial" w:hAnsi="Arial" w:cs="Arial"/>
          <w:sz w:val="24"/>
          <w:szCs w:val="24"/>
          <w:u w:val="single"/>
        </w:rPr>
      </w:pPr>
      <w:hyperlink r:id="rId31" w:history="1">
        <w:r w:rsidRPr="008E5998">
          <w:rPr>
            <w:rStyle w:val="Hyperlink"/>
            <w:rFonts w:ascii="Arial" w:hAnsi="Arial" w:cs="Arial"/>
            <w:sz w:val="24"/>
            <w:szCs w:val="24"/>
          </w:rPr>
          <w:t>CDBG: Community Development Block Grant Programs - HUD Exchange</w:t>
        </w:r>
      </w:hyperlink>
    </w:p>
    <w:p w14:paraId="6B1FA7F8" w14:textId="77777777" w:rsidR="00AE17C2" w:rsidRPr="008E5998" w:rsidRDefault="00AE17C2" w:rsidP="00AE17C2">
      <w:pPr>
        <w:pStyle w:val="ListParagraph"/>
        <w:numPr>
          <w:ilvl w:val="0"/>
          <w:numId w:val="30"/>
        </w:numPr>
        <w:rPr>
          <w:rFonts w:ascii="Arial" w:hAnsi="Arial" w:cs="Arial"/>
          <w:sz w:val="24"/>
          <w:szCs w:val="24"/>
          <w:u w:val="single"/>
        </w:rPr>
      </w:pPr>
      <w:hyperlink r:id="rId32" w:history="1">
        <w:r w:rsidRPr="008E5998">
          <w:rPr>
            <w:rStyle w:val="Hyperlink"/>
            <w:rFonts w:ascii="Arial" w:hAnsi="Arial" w:cs="Arial"/>
            <w:sz w:val="24"/>
            <w:szCs w:val="24"/>
          </w:rPr>
          <w:t>LMISD Map Application 2016-2020</w:t>
        </w:r>
      </w:hyperlink>
    </w:p>
    <w:p w14:paraId="387BD034" w14:textId="77777777" w:rsidR="00AE17C2" w:rsidRPr="008E5998" w:rsidRDefault="00AE17C2" w:rsidP="00AE17C2">
      <w:pPr>
        <w:pStyle w:val="ListParagraph"/>
        <w:numPr>
          <w:ilvl w:val="0"/>
          <w:numId w:val="30"/>
        </w:numPr>
        <w:rPr>
          <w:rFonts w:ascii="Arial" w:hAnsi="Arial" w:cs="Arial"/>
          <w:sz w:val="24"/>
          <w:szCs w:val="24"/>
          <w:u w:val="single"/>
        </w:rPr>
      </w:pPr>
      <w:hyperlink r:id="rId33" w:history="1">
        <w:r w:rsidRPr="008E5998">
          <w:rPr>
            <w:rStyle w:val="Hyperlink"/>
            <w:rFonts w:ascii="Arial" w:hAnsi="Arial" w:cs="Arial"/>
            <w:sz w:val="24"/>
            <w:szCs w:val="24"/>
          </w:rPr>
          <w:t>Environmental Review - HUD Exchange</w:t>
        </w:r>
      </w:hyperlink>
    </w:p>
    <w:p w14:paraId="00EF1F28" w14:textId="77777777" w:rsidR="00AE17C2" w:rsidRPr="008E5998" w:rsidRDefault="00AE17C2" w:rsidP="00AE17C2">
      <w:pPr>
        <w:pStyle w:val="ListParagraph"/>
        <w:numPr>
          <w:ilvl w:val="0"/>
          <w:numId w:val="30"/>
        </w:numPr>
        <w:rPr>
          <w:rFonts w:ascii="Arial" w:hAnsi="Arial" w:cs="Arial"/>
          <w:sz w:val="24"/>
          <w:szCs w:val="24"/>
          <w:u w:val="single"/>
        </w:rPr>
      </w:pPr>
      <w:hyperlink r:id="rId34" w:history="1">
        <w:r w:rsidRPr="008E5998">
          <w:rPr>
            <w:rStyle w:val="Hyperlink"/>
            <w:rFonts w:ascii="Arial" w:hAnsi="Arial" w:cs="Arial"/>
            <w:sz w:val="24"/>
            <w:szCs w:val="24"/>
          </w:rPr>
          <w:t>Environmental Review Federal Related Laws and Authorities - HUD Exchange</w:t>
        </w:r>
      </w:hyperlink>
    </w:p>
    <w:p w14:paraId="708AE0D9" w14:textId="77777777" w:rsidR="00AE17C2" w:rsidRPr="008E5998" w:rsidRDefault="00AE17C2" w:rsidP="00AE17C2">
      <w:pPr>
        <w:pStyle w:val="ListParagraph"/>
        <w:numPr>
          <w:ilvl w:val="0"/>
          <w:numId w:val="30"/>
        </w:numPr>
        <w:rPr>
          <w:rFonts w:ascii="Arial" w:hAnsi="Arial" w:cs="Arial"/>
          <w:sz w:val="24"/>
          <w:szCs w:val="24"/>
          <w:u w:val="single"/>
        </w:rPr>
      </w:pPr>
      <w:hyperlink r:id="rId35" w:history="1">
        <w:r w:rsidRPr="008E5998">
          <w:rPr>
            <w:rStyle w:val="Hyperlink"/>
            <w:rFonts w:ascii="Arial" w:hAnsi="Arial" w:cs="Arial"/>
            <w:sz w:val="24"/>
            <w:szCs w:val="24"/>
          </w:rPr>
          <w:t>NEPAssist | US EPA</w:t>
        </w:r>
      </w:hyperlink>
    </w:p>
    <w:p w14:paraId="1AE0E231" w14:textId="77777777" w:rsidR="00AE17C2" w:rsidRPr="008E5998" w:rsidRDefault="00AE17C2" w:rsidP="00AE17C2">
      <w:pPr>
        <w:pStyle w:val="ListParagraph"/>
        <w:numPr>
          <w:ilvl w:val="0"/>
          <w:numId w:val="30"/>
        </w:numPr>
        <w:rPr>
          <w:rFonts w:ascii="Arial" w:hAnsi="Arial" w:cs="Arial"/>
          <w:sz w:val="24"/>
          <w:szCs w:val="24"/>
          <w:u w:val="single"/>
        </w:rPr>
      </w:pPr>
      <w:hyperlink r:id="rId36" w:history="1">
        <w:r w:rsidRPr="008E5998">
          <w:rPr>
            <w:rStyle w:val="Hyperlink"/>
            <w:rFonts w:ascii="Arial" w:hAnsi="Arial" w:cs="Arial"/>
            <w:sz w:val="24"/>
            <w:szCs w:val="24"/>
          </w:rPr>
          <w:t>Community Health Needs Assessment &amp; Health Plans | McLean County, IL - Official Website</w:t>
        </w:r>
      </w:hyperlink>
    </w:p>
    <w:p w14:paraId="40522C78" w14:textId="77777777" w:rsidR="00AE17C2" w:rsidRPr="008E5998" w:rsidRDefault="00AE17C2" w:rsidP="00AE17C2">
      <w:pPr>
        <w:pStyle w:val="ListParagraph"/>
        <w:numPr>
          <w:ilvl w:val="0"/>
          <w:numId w:val="30"/>
        </w:numPr>
        <w:rPr>
          <w:rFonts w:ascii="Arial" w:hAnsi="Arial" w:cs="Arial"/>
          <w:sz w:val="24"/>
          <w:szCs w:val="24"/>
          <w:u w:val="single"/>
        </w:rPr>
      </w:pPr>
      <w:hyperlink r:id="rId37" w:history="1">
        <w:r w:rsidRPr="008E5998">
          <w:rPr>
            <w:rStyle w:val="Hyperlink"/>
            <w:rFonts w:ascii="Arial" w:hAnsi="Arial" w:cs="Arial"/>
            <w:sz w:val="24"/>
            <w:szCs w:val="24"/>
          </w:rPr>
          <w:t>Comprehensive Plan 2015-2035 | City of Bloomington, Illinois</w:t>
        </w:r>
      </w:hyperlink>
    </w:p>
    <w:p w14:paraId="2B80DA0D" w14:textId="77777777" w:rsidR="00AE17C2" w:rsidRPr="008E5998" w:rsidRDefault="00AE17C2" w:rsidP="00AE17C2">
      <w:pPr>
        <w:pStyle w:val="ListParagraph"/>
        <w:numPr>
          <w:ilvl w:val="0"/>
          <w:numId w:val="30"/>
        </w:numPr>
        <w:rPr>
          <w:rFonts w:ascii="Arial" w:hAnsi="Arial" w:cs="Arial"/>
          <w:sz w:val="24"/>
          <w:szCs w:val="24"/>
          <w:u w:val="single"/>
        </w:rPr>
      </w:pPr>
      <w:hyperlink r:id="rId38" w:history="1">
        <w:r w:rsidRPr="008E5998">
          <w:rPr>
            <w:rStyle w:val="Hyperlink"/>
            <w:rFonts w:ascii="Arial" w:hAnsi="Arial" w:cs="Arial"/>
            <w:sz w:val="24"/>
            <w:szCs w:val="24"/>
          </w:rPr>
          <w:t>Financial Management Curriculum - HUD Exchange</w:t>
        </w:r>
      </w:hyperlink>
    </w:p>
    <w:p w14:paraId="0939F221" w14:textId="77777777" w:rsidR="00AE17C2" w:rsidRPr="008E5998" w:rsidRDefault="00AE17C2" w:rsidP="00AE17C2">
      <w:pPr>
        <w:pStyle w:val="ListParagraph"/>
        <w:numPr>
          <w:ilvl w:val="0"/>
          <w:numId w:val="30"/>
        </w:numPr>
        <w:rPr>
          <w:rFonts w:ascii="Arial" w:hAnsi="Arial" w:cs="Arial"/>
          <w:sz w:val="24"/>
          <w:szCs w:val="24"/>
          <w:u w:val="single"/>
        </w:rPr>
      </w:pPr>
      <w:hyperlink r:id="rId39" w:history="1">
        <w:r w:rsidRPr="008E5998">
          <w:rPr>
            <w:rStyle w:val="Hyperlink"/>
            <w:rFonts w:ascii="Arial" w:hAnsi="Arial" w:cs="Arial"/>
            <w:sz w:val="24"/>
            <w:szCs w:val="24"/>
          </w:rPr>
          <w:t>Basically CDBG - HUD Exchange</w:t>
        </w:r>
      </w:hyperlink>
    </w:p>
    <w:p w14:paraId="0F0A8175" w14:textId="77777777" w:rsidR="00AE17C2" w:rsidRPr="008E5998" w:rsidRDefault="00AE17C2" w:rsidP="00AE17C2">
      <w:pPr>
        <w:pStyle w:val="ListParagraph"/>
        <w:numPr>
          <w:ilvl w:val="0"/>
          <w:numId w:val="30"/>
        </w:numPr>
        <w:rPr>
          <w:rFonts w:ascii="Arial" w:hAnsi="Arial" w:cs="Arial"/>
          <w:sz w:val="24"/>
          <w:szCs w:val="24"/>
          <w:u w:val="single"/>
        </w:rPr>
      </w:pPr>
      <w:hyperlink r:id="rId40" w:history="1">
        <w:r w:rsidRPr="008E5998">
          <w:rPr>
            <w:rStyle w:val="Hyperlink"/>
            <w:rFonts w:ascii="Arial" w:hAnsi="Arial" w:cs="Arial"/>
            <w:sz w:val="24"/>
            <w:szCs w:val="24"/>
          </w:rPr>
          <w:t>Home | SAM.gov</w:t>
        </w:r>
      </w:hyperlink>
    </w:p>
    <w:p w14:paraId="0493F46D" w14:textId="7D98274B" w:rsidR="00AE17C2" w:rsidRPr="008E5998" w:rsidRDefault="001A37FF" w:rsidP="00AE17C2">
      <w:pPr>
        <w:pStyle w:val="ListParagraph"/>
        <w:numPr>
          <w:ilvl w:val="0"/>
          <w:numId w:val="30"/>
        </w:numPr>
        <w:rPr>
          <w:rFonts w:ascii="Arial" w:hAnsi="Arial" w:cs="Arial"/>
          <w:sz w:val="24"/>
          <w:szCs w:val="24"/>
          <w:u w:val="single"/>
        </w:rPr>
      </w:pPr>
      <w:hyperlink r:id="rId41" w:history="1">
        <w:r w:rsidRPr="008E5998">
          <w:rPr>
            <w:rStyle w:val="Hyperlink"/>
            <w:rFonts w:ascii="Arial" w:hAnsi="Arial" w:cs="Arial"/>
            <w:sz w:val="24"/>
            <w:szCs w:val="24"/>
          </w:rPr>
          <w:t>Certified Transcript of Payroll - Conciliation and Mediation Division</w:t>
        </w:r>
      </w:hyperlink>
    </w:p>
    <w:p w14:paraId="65D413E7" w14:textId="6BA1C5D3" w:rsidR="001A37FF" w:rsidRPr="008E5998" w:rsidRDefault="008E1CFC" w:rsidP="00AE17C2">
      <w:pPr>
        <w:pStyle w:val="ListParagraph"/>
        <w:numPr>
          <w:ilvl w:val="0"/>
          <w:numId w:val="30"/>
        </w:numPr>
        <w:rPr>
          <w:rFonts w:ascii="Arial" w:hAnsi="Arial" w:cs="Arial"/>
          <w:sz w:val="24"/>
          <w:szCs w:val="24"/>
          <w:u w:val="single"/>
        </w:rPr>
      </w:pPr>
      <w:hyperlink r:id="rId42" w:history="1">
        <w:r w:rsidRPr="008E5998">
          <w:rPr>
            <w:rStyle w:val="Hyperlink"/>
            <w:rFonts w:ascii="Arial" w:hAnsi="Arial" w:cs="Arial"/>
            <w:sz w:val="24"/>
            <w:szCs w:val="24"/>
          </w:rPr>
          <w:t>Davis-Bacon and Labor Standards: Agency/Contractor Guide and Contractor Addendum - HUD Exchange</w:t>
        </w:r>
      </w:hyperlink>
    </w:p>
    <w:p w14:paraId="144DCED4" w14:textId="77777777" w:rsidR="007843CA" w:rsidRPr="008E5998" w:rsidRDefault="007843CA" w:rsidP="007F30F4">
      <w:pPr>
        <w:pStyle w:val="paragraph"/>
        <w:spacing w:before="0" w:beforeAutospacing="0" w:after="0" w:afterAutospacing="0" w:line="259" w:lineRule="auto"/>
        <w:textAlignment w:val="baseline"/>
        <w:rPr>
          <w:rStyle w:val="normaltextrun"/>
          <w:rFonts w:ascii="Arial" w:hAnsi="Arial" w:cs="Arial"/>
          <w:u w:val="single"/>
        </w:rPr>
      </w:pPr>
    </w:p>
    <w:p w14:paraId="296C1C20" w14:textId="77777777" w:rsidR="007843CA" w:rsidRDefault="007843CA" w:rsidP="007F30F4">
      <w:pPr>
        <w:pStyle w:val="paragraph"/>
        <w:spacing w:before="0" w:beforeAutospacing="0" w:after="0" w:afterAutospacing="0" w:line="259" w:lineRule="auto"/>
        <w:textAlignment w:val="baseline"/>
        <w:rPr>
          <w:rStyle w:val="normaltextrun"/>
          <w:rFonts w:ascii="Arial" w:hAnsi="Arial" w:cs="Arial"/>
          <w:u w:val="single"/>
        </w:rPr>
      </w:pPr>
    </w:p>
    <w:p w14:paraId="68862980" w14:textId="77777777" w:rsidR="00425670" w:rsidRDefault="00425670" w:rsidP="007F30F4">
      <w:pPr>
        <w:pStyle w:val="paragraph"/>
        <w:spacing w:before="0" w:beforeAutospacing="0" w:after="0" w:afterAutospacing="0" w:line="259" w:lineRule="auto"/>
        <w:textAlignment w:val="baseline"/>
        <w:rPr>
          <w:rStyle w:val="normaltextrun"/>
          <w:rFonts w:ascii="Arial" w:hAnsi="Arial" w:cs="Arial"/>
          <w:u w:val="single"/>
        </w:rPr>
      </w:pPr>
    </w:p>
    <w:p w14:paraId="52A5A1CD" w14:textId="7D66B6F7" w:rsidR="007F30F4" w:rsidRPr="008E5998" w:rsidRDefault="007F30F4" w:rsidP="007F30F4">
      <w:pPr>
        <w:pStyle w:val="paragraph"/>
        <w:spacing w:before="0" w:beforeAutospacing="0" w:after="0" w:afterAutospacing="0" w:line="259" w:lineRule="auto"/>
        <w:textAlignment w:val="baseline"/>
        <w:rPr>
          <w:rFonts w:ascii="Arial" w:hAnsi="Arial" w:cs="Arial"/>
          <w:sz w:val="18"/>
          <w:szCs w:val="18"/>
        </w:rPr>
      </w:pPr>
      <w:r w:rsidRPr="008E5998">
        <w:rPr>
          <w:rStyle w:val="normaltextrun"/>
          <w:rFonts w:ascii="Arial" w:hAnsi="Arial" w:cs="Arial"/>
          <w:u w:val="single"/>
        </w:rPr>
        <w:t>Funding Opportunity Contacts</w:t>
      </w:r>
      <w:r w:rsidRPr="008E5998">
        <w:rPr>
          <w:rStyle w:val="eop"/>
          <w:rFonts w:ascii="Arial" w:hAnsi="Arial" w:cs="Arial"/>
        </w:rPr>
        <w:t> </w:t>
      </w:r>
    </w:p>
    <w:p w14:paraId="025B1667" w14:textId="77777777" w:rsidR="008E5998" w:rsidRPr="008E5998" w:rsidRDefault="008E5998" w:rsidP="008E5998">
      <w:pPr>
        <w:pStyle w:val="NoSpacing"/>
        <w:rPr>
          <w:rFonts w:ascii="Arial" w:hAnsi="Arial" w:cs="Arial"/>
          <w:sz w:val="24"/>
          <w:szCs w:val="24"/>
        </w:rPr>
      </w:pPr>
      <w:r w:rsidRPr="008E5998">
        <w:rPr>
          <w:rFonts w:ascii="Arial" w:hAnsi="Arial" w:cs="Arial"/>
          <w:sz w:val="24"/>
          <w:szCs w:val="24"/>
        </w:rPr>
        <w:t xml:space="preserve">Joni Gerard </w:t>
      </w:r>
    </w:p>
    <w:p w14:paraId="7B77308D" w14:textId="77777777" w:rsidR="008E5998" w:rsidRPr="008E5998" w:rsidRDefault="008E5998" w:rsidP="008E5998">
      <w:pPr>
        <w:pStyle w:val="NoSpacing"/>
        <w:rPr>
          <w:rFonts w:ascii="Arial" w:hAnsi="Arial" w:cs="Arial"/>
          <w:sz w:val="24"/>
          <w:szCs w:val="24"/>
        </w:rPr>
      </w:pPr>
      <w:r w:rsidRPr="008E5998">
        <w:rPr>
          <w:rFonts w:ascii="Arial" w:hAnsi="Arial" w:cs="Arial"/>
          <w:sz w:val="24"/>
          <w:szCs w:val="24"/>
        </w:rPr>
        <w:t xml:space="preserve">Grant Specialist </w:t>
      </w:r>
    </w:p>
    <w:p w14:paraId="44FDFBD4" w14:textId="77777777" w:rsidR="008E5998" w:rsidRPr="008E5998" w:rsidRDefault="008E5998" w:rsidP="008E5998">
      <w:pPr>
        <w:pStyle w:val="NoSpacing"/>
        <w:rPr>
          <w:rFonts w:ascii="Arial" w:hAnsi="Arial" w:cs="Arial"/>
          <w:sz w:val="24"/>
          <w:szCs w:val="24"/>
        </w:rPr>
      </w:pPr>
      <w:r w:rsidRPr="008E5998">
        <w:rPr>
          <w:rFonts w:ascii="Arial" w:hAnsi="Arial" w:cs="Arial"/>
          <w:sz w:val="24"/>
          <w:szCs w:val="24"/>
        </w:rPr>
        <w:t>(309) 434-2450</w:t>
      </w:r>
    </w:p>
    <w:p w14:paraId="5EB2BABF" w14:textId="77777777" w:rsidR="008E5998" w:rsidRPr="008E5998" w:rsidRDefault="008E5998" w:rsidP="008E5998">
      <w:pPr>
        <w:pStyle w:val="NoSpacing"/>
        <w:rPr>
          <w:rFonts w:ascii="Arial" w:hAnsi="Arial" w:cs="Arial"/>
          <w:sz w:val="24"/>
          <w:szCs w:val="24"/>
        </w:rPr>
      </w:pPr>
      <w:hyperlink r:id="rId43" w:history="1">
        <w:r w:rsidRPr="008E5998">
          <w:rPr>
            <w:rStyle w:val="Hyperlink"/>
            <w:rFonts w:ascii="Arial" w:hAnsi="Arial" w:cs="Arial"/>
            <w:sz w:val="24"/>
            <w:szCs w:val="24"/>
          </w:rPr>
          <w:t>jgerard@cityblm.org</w:t>
        </w:r>
      </w:hyperlink>
      <w:r w:rsidRPr="008E5998">
        <w:rPr>
          <w:rFonts w:ascii="Arial" w:hAnsi="Arial" w:cs="Arial"/>
          <w:sz w:val="24"/>
          <w:szCs w:val="24"/>
        </w:rPr>
        <w:t xml:space="preserve"> </w:t>
      </w:r>
    </w:p>
    <w:p w14:paraId="09B31D36" w14:textId="77777777" w:rsidR="008E5998" w:rsidRPr="008E5998" w:rsidRDefault="008E5998" w:rsidP="008E5998">
      <w:pPr>
        <w:pStyle w:val="paragraph"/>
        <w:spacing w:before="0" w:beforeAutospacing="0" w:after="0" w:afterAutospacing="0" w:line="259" w:lineRule="auto"/>
        <w:textAlignment w:val="baseline"/>
        <w:rPr>
          <w:rStyle w:val="normaltextrun"/>
          <w:rFonts w:ascii="Arial" w:hAnsi="Arial" w:cs="Arial"/>
        </w:rPr>
      </w:pPr>
    </w:p>
    <w:p w14:paraId="06FB752D" w14:textId="77777777" w:rsidR="008E5998" w:rsidRPr="008E5998" w:rsidRDefault="008E5998" w:rsidP="008E5998">
      <w:pPr>
        <w:pStyle w:val="paragraph"/>
        <w:spacing w:before="0" w:beforeAutospacing="0" w:after="0" w:afterAutospacing="0" w:line="259" w:lineRule="auto"/>
        <w:textAlignment w:val="baseline"/>
        <w:rPr>
          <w:rStyle w:val="normaltextrun"/>
          <w:rFonts w:ascii="Arial" w:hAnsi="Arial" w:cs="Arial"/>
        </w:rPr>
      </w:pPr>
      <w:r w:rsidRPr="008E5998">
        <w:rPr>
          <w:rStyle w:val="normaltextrun"/>
          <w:rFonts w:ascii="Arial" w:hAnsi="Arial" w:cs="Arial"/>
        </w:rPr>
        <w:t>OR</w:t>
      </w:r>
    </w:p>
    <w:p w14:paraId="77CAF465" w14:textId="77777777" w:rsidR="008E5998" w:rsidRPr="008E5998" w:rsidRDefault="008E5998" w:rsidP="008E5998">
      <w:pPr>
        <w:pStyle w:val="paragraph"/>
        <w:spacing w:before="0" w:beforeAutospacing="0" w:after="0" w:afterAutospacing="0" w:line="259" w:lineRule="auto"/>
        <w:textAlignment w:val="baseline"/>
        <w:rPr>
          <w:rStyle w:val="normaltextrun"/>
          <w:rFonts w:ascii="Arial" w:hAnsi="Arial" w:cs="Arial"/>
        </w:rPr>
      </w:pPr>
    </w:p>
    <w:p w14:paraId="400EB79C" w14:textId="77777777" w:rsidR="008E5998" w:rsidRPr="008E5998" w:rsidRDefault="008E5998" w:rsidP="008E5998">
      <w:pPr>
        <w:pStyle w:val="paragraph"/>
        <w:spacing w:before="0" w:beforeAutospacing="0" w:after="0" w:afterAutospacing="0" w:line="259" w:lineRule="auto"/>
        <w:textAlignment w:val="baseline"/>
        <w:rPr>
          <w:rFonts w:ascii="Arial" w:hAnsi="Arial" w:cs="Arial"/>
          <w:sz w:val="18"/>
          <w:szCs w:val="18"/>
        </w:rPr>
      </w:pPr>
      <w:r w:rsidRPr="008E5998">
        <w:rPr>
          <w:rStyle w:val="normaltextrun"/>
          <w:rFonts w:ascii="Arial" w:hAnsi="Arial" w:cs="Arial"/>
        </w:rPr>
        <w:t>William Bessler, M.B.A.</w:t>
      </w:r>
      <w:r w:rsidRPr="008E5998">
        <w:rPr>
          <w:rStyle w:val="eop"/>
          <w:rFonts w:ascii="Arial" w:hAnsi="Arial" w:cs="Arial"/>
        </w:rPr>
        <w:t> </w:t>
      </w:r>
    </w:p>
    <w:p w14:paraId="0FA6AB53" w14:textId="77777777" w:rsidR="008E5998" w:rsidRPr="008E5998" w:rsidRDefault="008E5998" w:rsidP="008E5998">
      <w:pPr>
        <w:pStyle w:val="paragraph"/>
        <w:spacing w:before="0" w:beforeAutospacing="0" w:after="0" w:afterAutospacing="0" w:line="259" w:lineRule="auto"/>
        <w:textAlignment w:val="baseline"/>
        <w:rPr>
          <w:rFonts w:ascii="Arial" w:hAnsi="Arial" w:cs="Arial"/>
          <w:sz w:val="18"/>
          <w:szCs w:val="18"/>
        </w:rPr>
      </w:pPr>
      <w:r w:rsidRPr="008E5998">
        <w:rPr>
          <w:rStyle w:val="normaltextrun"/>
          <w:rFonts w:ascii="Arial" w:hAnsi="Arial" w:cs="Arial"/>
        </w:rPr>
        <w:t>Grants Manager </w:t>
      </w:r>
      <w:r w:rsidRPr="008E5998">
        <w:rPr>
          <w:rStyle w:val="eop"/>
          <w:rFonts w:ascii="Arial" w:hAnsi="Arial" w:cs="Arial"/>
        </w:rPr>
        <w:t> </w:t>
      </w:r>
    </w:p>
    <w:p w14:paraId="080745DB" w14:textId="77777777" w:rsidR="008E5998" w:rsidRPr="008E5998" w:rsidRDefault="008E5998" w:rsidP="008E5998">
      <w:pPr>
        <w:pStyle w:val="paragraph"/>
        <w:spacing w:before="0" w:beforeAutospacing="0" w:after="0" w:afterAutospacing="0" w:line="259" w:lineRule="auto"/>
        <w:textAlignment w:val="baseline"/>
        <w:rPr>
          <w:rFonts w:ascii="Arial" w:hAnsi="Arial" w:cs="Arial"/>
          <w:sz w:val="18"/>
          <w:szCs w:val="18"/>
        </w:rPr>
      </w:pPr>
      <w:r w:rsidRPr="008E5998">
        <w:rPr>
          <w:rStyle w:val="normaltextrun"/>
          <w:rFonts w:ascii="Arial" w:hAnsi="Arial" w:cs="Arial"/>
        </w:rPr>
        <w:t>(309) 434-2343</w:t>
      </w:r>
      <w:r w:rsidRPr="008E5998">
        <w:rPr>
          <w:rStyle w:val="eop"/>
          <w:rFonts w:ascii="Arial" w:hAnsi="Arial" w:cs="Arial"/>
        </w:rPr>
        <w:t> </w:t>
      </w:r>
    </w:p>
    <w:p w14:paraId="3F479926" w14:textId="1A0F869A" w:rsidR="00707C88" w:rsidRPr="008E5998" w:rsidRDefault="008E5998" w:rsidP="008E5998">
      <w:pPr>
        <w:pStyle w:val="NoSpacing"/>
        <w:rPr>
          <w:rFonts w:ascii="Arial" w:hAnsi="Arial" w:cs="Arial"/>
        </w:rPr>
      </w:pPr>
      <w:hyperlink r:id="rId44" w:tgtFrame="_blank" w:history="1">
        <w:r w:rsidRPr="008E5998">
          <w:rPr>
            <w:rStyle w:val="normaltextrun"/>
            <w:rFonts w:ascii="Arial" w:hAnsi="Arial" w:cs="Arial"/>
            <w:color w:val="0563C1"/>
            <w:u w:val="single"/>
          </w:rPr>
          <w:t>wbessler@cityblm.org</w:t>
        </w:r>
      </w:hyperlink>
      <w:r w:rsidR="007F30F4" w:rsidRPr="008E5998">
        <w:rPr>
          <w:rFonts w:ascii="Arial" w:hAnsi="Arial" w:cs="Arial"/>
          <w:sz w:val="24"/>
          <w:szCs w:val="24"/>
        </w:rPr>
        <w:t xml:space="preserve"> </w:t>
      </w:r>
    </w:p>
    <w:sectPr w:rsidR="00707C88" w:rsidRPr="008E5998" w:rsidSect="00C1163A">
      <w:headerReference w:type="default" r:id="rId45"/>
      <w:footerReference w:type="default" r:id="rId46"/>
      <w:pgSz w:w="12240" w:h="15840"/>
      <w:pgMar w:top="1440" w:right="1440" w:bottom="1440" w:left="1440"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5D83" w14:textId="77777777" w:rsidR="00C12B47" w:rsidRDefault="00C12B47" w:rsidP="00097502">
      <w:pPr>
        <w:spacing w:after="0" w:line="240" w:lineRule="auto"/>
      </w:pPr>
      <w:r>
        <w:separator/>
      </w:r>
    </w:p>
  </w:endnote>
  <w:endnote w:type="continuationSeparator" w:id="0">
    <w:p w14:paraId="6CB76A4C" w14:textId="77777777" w:rsidR="00C12B47" w:rsidRDefault="00C12B47" w:rsidP="0009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4FA6" w14:textId="35886CEB" w:rsidR="00C71017" w:rsidRDefault="00C71017">
    <w:pPr>
      <w:pStyle w:val="Footer"/>
      <w:jc w:val="right"/>
    </w:pPr>
    <w:r>
      <w:rPr>
        <w:noProof/>
      </w:rPr>
      <mc:AlternateContent>
        <mc:Choice Requires="wps">
          <w:drawing>
            <wp:anchor distT="45720" distB="45720" distL="114300" distR="114300" simplePos="0" relativeHeight="251658240" behindDoc="0" locked="0" layoutInCell="1" allowOverlap="1" wp14:anchorId="4DC73BE7" wp14:editId="5B144FB3">
              <wp:simplePos x="0" y="0"/>
              <wp:positionH relativeFrom="margin">
                <wp:align>left</wp:align>
              </wp:positionH>
              <wp:positionV relativeFrom="paragraph">
                <wp:posOffset>7620</wp:posOffset>
              </wp:positionV>
              <wp:extent cx="5048250" cy="419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19100"/>
                      </a:xfrm>
                      <a:prstGeom prst="rect">
                        <a:avLst/>
                      </a:prstGeom>
                      <a:solidFill>
                        <a:srgbClr val="FFFFFF"/>
                      </a:solidFill>
                      <a:ln w="9525">
                        <a:solidFill>
                          <a:schemeClr val="bg1"/>
                        </a:solidFill>
                        <a:miter lim="800000"/>
                        <a:headEnd/>
                        <a:tailEnd/>
                      </a:ln>
                    </wps:spPr>
                    <wps:txbx>
                      <w:txbxContent>
                        <w:p w14:paraId="7BF51929" w14:textId="2BDFCECB" w:rsidR="00C71017" w:rsidRPr="008E5998" w:rsidRDefault="00C71017">
                          <w:pPr>
                            <w:rPr>
                              <w:rFonts w:ascii="Arial" w:hAnsi="Arial" w:cs="Arial"/>
                            </w:rPr>
                          </w:pPr>
                          <w:r w:rsidRPr="008E5998">
                            <w:rPr>
                              <w:rFonts w:ascii="Arial" w:hAnsi="Arial" w:cs="Arial"/>
                            </w:rPr>
                            <w:t>City of Bloomington CDBG PY202</w:t>
                          </w:r>
                          <w:r w:rsidR="00A60AA6" w:rsidRPr="008E5998">
                            <w:rPr>
                              <w:rFonts w:ascii="Arial" w:hAnsi="Arial" w:cs="Arial"/>
                            </w:rPr>
                            <w:t>6</w:t>
                          </w:r>
                          <w:r w:rsidRPr="008E5998">
                            <w:rPr>
                              <w:rFonts w:ascii="Arial" w:hAnsi="Arial" w:cs="Arial"/>
                            </w:rPr>
                            <w:t xml:space="preserve"> Public Facility, Infrastructure, and Housing RFP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73BE7" id="_x0000_t202" coordsize="21600,21600" o:spt="202" path="m,l,21600r21600,l21600,xe">
              <v:stroke joinstyle="miter"/>
              <v:path gradientshapeok="t" o:connecttype="rect"/>
            </v:shapetype>
            <v:shape id="Text Box 2" o:spid="_x0000_s1026" type="#_x0000_t202" style="position:absolute;left:0;text-align:left;margin-left:0;margin-top:.6pt;width:397.5pt;height:3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" strokecolor="white [3212]">
              <v:textbox>
                <w:txbxContent>
                  <w:p w14:paraId="7BF51929" w14:textId="2BDFCECB" w:rsidR="00C71017" w:rsidRPr="008E5998" w:rsidRDefault="00C71017">
                    <w:pPr>
                      <w:rPr>
                        <w:rFonts w:ascii="Arial" w:hAnsi="Arial" w:cs="Arial"/>
                      </w:rPr>
                    </w:pPr>
                    <w:r w:rsidRPr="008E5998">
                      <w:rPr>
                        <w:rFonts w:ascii="Arial" w:hAnsi="Arial" w:cs="Arial"/>
                      </w:rPr>
                      <w:t>City of Bloomington CDBG PY202</w:t>
                    </w:r>
                    <w:r w:rsidR="00A60AA6" w:rsidRPr="008E5998">
                      <w:rPr>
                        <w:rFonts w:ascii="Arial" w:hAnsi="Arial" w:cs="Arial"/>
                      </w:rPr>
                      <w:t>6</w:t>
                    </w:r>
                    <w:r w:rsidRPr="008E5998">
                      <w:rPr>
                        <w:rFonts w:ascii="Arial" w:hAnsi="Arial" w:cs="Arial"/>
                      </w:rPr>
                      <w:t xml:space="preserve"> Public Facility, Infrastructure, and Housing RFP</w:t>
                    </w:r>
                  </w:p>
                </w:txbxContent>
              </v:textbox>
              <w10:wrap type="square" anchorx="margin"/>
            </v:shape>
          </w:pict>
        </mc:Fallback>
      </mc:AlternateContent>
    </w:r>
    <w:sdt>
      <w:sdtPr>
        <w:id w:val="-18258874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F2BA757" w14:textId="77777777" w:rsidR="00097502" w:rsidRDefault="00097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48A5" w14:textId="77777777" w:rsidR="00C12B47" w:rsidRDefault="00C12B47" w:rsidP="00097502">
      <w:pPr>
        <w:spacing w:after="0" w:line="240" w:lineRule="auto"/>
      </w:pPr>
      <w:r>
        <w:separator/>
      </w:r>
    </w:p>
  </w:footnote>
  <w:footnote w:type="continuationSeparator" w:id="0">
    <w:p w14:paraId="6FE290C0" w14:textId="77777777" w:rsidR="00C12B47" w:rsidRDefault="00C12B47" w:rsidP="00097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705F" w14:textId="54EAF17C" w:rsidR="00097502" w:rsidRPr="008E5998" w:rsidRDefault="00683026" w:rsidP="00595776">
    <w:pPr>
      <w:pStyle w:val="Header"/>
      <w:jc w:val="right"/>
      <w:rPr>
        <w:rFonts w:ascii="Arial" w:hAnsi="Arial" w:cs="Arial"/>
      </w:rPr>
    </w:pPr>
    <w:r w:rsidRPr="008E5998">
      <w:rPr>
        <w:rFonts w:ascii="Arial" w:hAnsi="Arial" w:cs="Arial"/>
        <w:noProof/>
        <w:sz w:val="21"/>
        <w:szCs w:val="21"/>
      </w:rPr>
      <w:drawing>
        <wp:anchor distT="0" distB="0" distL="114300" distR="114300" simplePos="0" relativeHeight="251658241" behindDoc="0" locked="0" layoutInCell="1" allowOverlap="1" wp14:anchorId="05364E36" wp14:editId="6D1C9B1C">
          <wp:simplePos x="0" y="0"/>
          <wp:positionH relativeFrom="margin">
            <wp:align>left</wp:align>
          </wp:positionH>
          <wp:positionV relativeFrom="paragraph">
            <wp:posOffset>9525</wp:posOffset>
          </wp:positionV>
          <wp:extent cx="1676190" cy="419048"/>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76190" cy="419048"/>
                  </a:xfrm>
                  <a:prstGeom prst="rect">
                    <a:avLst/>
                  </a:prstGeom>
                </pic:spPr>
              </pic:pic>
            </a:graphicData>
          </a:graphic>
        </wp:anchor>
      </w:drawing>
    </w:r>
    <w:r w:rsidR="00595776" w:rsidRPr="008E5998">
      <w:rPr>
        <w:rFonts w:ascii="Arial" w:hAnsi="Arial" w:cs="Arial"/>
      </w:rPr>
      <w:t>City of Bloomington, IL</w:t>
    </w:r>
  </w:p>
  <w:p w14:paraId="63C4AD3D" w14:textId="57CF6D2C" w:rsidR="00595776" w:rsidRPr="008E5998" w:rsidRDefault="000C74D8" w:rsidP="00595776">
    <w:pPr>
      <w:pStyle w:val="Header"/>
      <w:jc w:val="right"/>
      <w:rPr>
        <w:rFonts w:ascii="Arial" w:hAnsi="Arial" w:cs="Arial"/>
      </w:rPr>
    </w:pPr>
    <w:r w:rsidRPr="008E5998">
      <w:rPr>
        <w:rFonts w:ascii="Arial" w:hAnsi="Arial" w:cs="Arial"/>
      </w:rPr>
      <w:t xml:space="preserve">Community Impact and </w:t>
    </w:r>
    <w:r w:rsidR="006D5E5B" w:rsidRPr="008E5998">
      <w:rPr>
        <w:rFonts w:ascii="Arial" w:hAnsi="Arial" w:cs="Arial"/>
      </w:rPr>
      <w:t>Enhancement</w:t>
    </w:r>
    <w:r w:rsidRPr="008E5998">
      <w:rPr>
        <w:rFonts w:ascii="Arial" w:hAnsi="Arial" w:cs="Arial"/>
      </w:rPr>
      <w:t xml:space="preserve"> Department</w:t>
    </w:r>
  </w:p>
  <w:p w14:paraId="4198B8B8" w14:textId="03859446" w:rsidR="00595776" w:rsidRPr="008E5998" w:rsidRDefault="00C74E23" w:rsidP="00595776">
    <w:pPr>
      <w:pStyle w:val="Header"/>
      <w:jc w:val="right"/>
      <w:rPr>
        <w:rFonts w:ascii="Arial" w:hAnsi="Arial" w:cs="Arial"/>
      </w:rPr>
    </w:pPr>
    <w:r w:rsidRPr="008E5998">
      <w:rPr>
        <w:rFonts w:ascii="Arial" w:hAnsi="Arial" w:cs="Arial"/>
      </w:rPr>
      <w:t>Grants Management</w:t>
    </w:r>
    <w:r w:rsidR="00595776" w:rsidRPr="008E5998">
      <w:rPr>
        <w:rFonts w:ascii="Arial" w:hAnsi="Arial" w:cs="Arial"/>
      </w:rPr>
      <w:t xml:space="preserve"> Division</w:t>
    </w:r>
  </w:p>
  <w:p w14:paraId="32AC1A41" w14:textId="77777777" w:rsidR="004D44BE" w:rsidRPr="00595776" w:rsidRDefault="004D44BE" w:rsidP="00595776">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C34"/>
    <w:multiLevelType w:val="hybridMultilevel"/>
    <w:tmpl w:val="F9F60F40"/>
    <w:lvl w:ilvl="0" w:tplc="8640D9DE">
      <w:start w:val="1"/>
      <w:numFmt w:val="decimal"/>
      <w:lvlText w:val="%1."/>
      <w:lvlJc w:val="left"/>
      <w:pPr>
        <w:ind w:left="720" w:hanging="360"/>
      </w:pPr>
    </w:lvl>
    <w:lvl w:ilvl="1" w:tplc="D68064FA">
      <w:start w:val="1"/>
      <w:numFmt w:val="lowerLetter"/>
      <w:lvlText w:val="%2."/>
      <w:lvlJc w:val="left"/>
      <w:pPr>
        <w:ind w:left="1440" w:hanging="360"/>
      </w:pPr>
    </w:lvl>
    <w:lvl w:ilvl="2" w:tplc="3300DE1C">
      <w:start w:val="1"/>
      <w:numFmt w:val="lowerRoman"/>
      <w:lvlText w:val="%3."/>
      <w:lvlJc w:val="right"/>
      <w:pPr>
        <w:ind w:left="2160" w:hanging="180"/>
      </w:pPr>
    </w:lvl>
    <w:lvl w:ilvl="3" w:tplc="93C6B4C4">
      <w:start w:val="1"/>
      <w:numFmt w:val="decimal"/>
      <w:lvlText w:val="%4."/>
      <w:lvlJc w:val="left"/>
      <w:pPr>
        <w:ind w:left="2880" w:hanging="360"/>
      </w:pPr>
    </w:lvl>
    <w:lvl w:ilvl="4" w:tplc="767861EA">
      <w:start w:val="1"/>
      <w:numFmt w:val="lowerLetter"/>
      <w:lvlText w:val="%5."/>
      <w:lvlJc w:val="left"/>
      <w:pPr>
        <w:ind w:left="3600" w:hanging="360"/>
      </w:pPr>
    </w:lvl>
    <w:lvl w:ilvl="5" w:tplc="CE505B2A">
      <w:start w:val="1"/>
      <w:numFmt w:val="lowerRoman"/>
      <w:lvlText w:val="%6."/>
      <w:lvlJc w:val="right"/>
      <w:pPr>
        <w:ind w:left="4320" w:hanging="180"/>
      </w:pPr>
    </w:lvl>
    <w:lvl w:ilvl="6" w:tplc="AE405B14">
      <w:start w:val="1"/>
      <w:numFmt w:val="decimal"/>
      <w:lvlText w:val="%7."/>
      <w:lvlJc w:val="left"/>
      <w:pPr>
        <w:ind w:left="5040" w:hanging="360"/>
      </w:pPr>
    </w:lvl>
    <w:lvl w:ilvl="7" w:tplc="860E44D2">
      <w:start w:val="1"/>
      <w:numFmt w:val="lowerLetter"/>
      <w:lvlText w:val="%8."/>
      <w:lvlJc w:val="left"/>
      <w:pPr>
        <w:ind w:left="5760" w:hanging="360"/>
      </w:pPr>
    </w:lvl>
    <w:lvl w:ilvl="8" w:tplc="8582490A">
      <w:start w:val="1"/>
      <w:numFmt w:val="lowerRoman"/>
      <w:lvlText w:val="%9."/>
      <w:lvlJc w:val="right"/>
      <w:pPr>
        <w:ind w:left="6480" w:hanging="180"/>
      </w:pPr>
    </w:lvl>
  </w:abstractNum>
  <w:abstractNum w:abstractNumId="1" w15:restartNumberingAfterBreak="0">
    <w:nsid w:val="0A325855"/>
    <w:multiLevelType w:val="multilevel"/>
    <w:tmpl w:val="F9ACC0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D774BAD"/>
    <w:multiLevelType w:val="multilevel"/>
    <w:tmpl w:val="F7D8A31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0D43D47"/>
    <w:multiLevelType w:val="multilevel"/>
    <w:tmpl w:val="184A54A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58D05A4"/>
    <w:multiLevelType w:val="multilevel"/>
    <w:tmpl w:val="41DAB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31E7D"/>
    <w:multiLevelType w:val="multilevel"/>
    <w:tmpl w:val="B20AC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C5624"/>
    <w:multiLevelType w:val="multilevel"/>
    <w:tmpl w:val="B6928F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8C85BD8"/>
    <w:multiLevelType w:val="multilevel"/>
    <w:tmpl w:val="7134768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C262109"/>
    <w:multiLevelType w:val="hybridMultilevel"/>
    <w:tmpl w:val="3D929E74"/>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21AB44F3"/>
    <w:multiLevelType w:val="multilevel"/>
    <w:tmpl w:val="A394F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A66FD"/>
    <w:multiLevelType w:val="multilevel"/>
    <w:tmpl w:val="63AC4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66827"/>
    <w:multiLevelType w:val="hybridMultilevel"/>
    <w:tmpl w:val="EDB61140"/>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D2E69F9"/>
    <w:multiLevelType w:val="multilevel"/>
    <w:tmpl w:val="8C8661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DD0325A"/>
    <w:multiLevelType w:val="multilevel"/>
    <w:tmpl w:val="D5B66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76C7E"/>
    <w:multiLevelType w:val="multilevel"/>
    <w:tmpl w:val="F1A6F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16DD2"/>
    <w:multiLevelType w:val="multilevel"/>
    <w:tmpl w:val="D5BAF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35F5F"/>
    <w:multiLevelType w:val="multilevel"/>
    <w:tmpl w:val="FA542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EAA3E03"/>
    <w:multiLevelType w:val="multilevel"/>
    <w:tmpl w:val="6472D6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5923FBD"/>
    <w:multiLevelType w:val="hybridMultilevel"/>
    <w:tmpl w:val="C8F2A5D8"/>
    <w:lvl w:ilvl="0" w:tplc="BC30FB96">
      <w:start w:val="1"/>
      <w:numFmt w:val="decimal"/>
      <w:lvlText w:val="%1."/>
      <w:lvlJc w:val="left"/>
      <w:pPr>
        <w:ind w:left="720" w:hanging="360"/>
      </w:pPr>
    </w:lvl>
    <w:lvl w:ilvl="1" w:tplc="3A683942">
      <w:start w:val="1"/>
      <w:numFmt w:val="lowerLetter"/>
      <w:lvlText w:val="%2."/>
      <w:lvlJc w:val="left"/>
      <w:pPr>
        <w:ind w:left="1440" w:hanging="360"/>
      </w:pPr>
    </w:lvl>
    <w:lvl w:ilvl="2" w:tplc="18F0F566">
      <w:start w:val="1"/>
      <w:numFmt w:val="lowerRoman"/>
      <w:lvlText w:val="%3."/>
      <w:lvlJc w:val="right"/>
      <w:pPr>
        <w:ind w:left="2160" w:hanging="180"/>
      </w:pPr>
    </w:lvl>
    <w:lvl w:ilvl="3" w:tplc="0B72824A">
      <w:start w:val="1"/>
      <w:numFmt w:val="decimal"/>
      <w:lvlText w:val="%4."/>
      <w:lvlJc w:val="left"/>
      <w:pPr>
        <w:ind w:left="2880" w:hanging="360"/>
      </w:pPr>
    </w:lvl>
    <w:lvl w:ilvl="4" w:tplc="F7307F38">
      <w:start w:val="1"/>
      <w:numFmt w:val="lowerLetter"/>
      <w:lvlText w:val="%5."/>
      <w:lvlJc w:val="left"/>
      <w:pPr>
        <w:ind w:left="3600" w:hanging="360"/>
      </w:pPr>
    </w:lvl>
    <w:lvl w:ilvl="5" w:tplc="297A85FA">
      <w:start w:val="1"/>
      <w:numFmt w:val="lowerRoman"/>
      <w:lvlText w:val="%6."/>
      <w:lvlJc w:val="right"/>
      <w:pPr>
        <w:ind w:left="4320" w:hanging="180"/>
      </w:pPr>
    </w:lvl>
    <w:lvl w:ilvl="6" w:tplc="4C5833A8">
      <w:start w:val="1"/>
      <w:numFmt w:val="decimal"/>
      <w:lvlText w:val="%7."/>
      <w:lvlJc w:val="left"/>
      <w:pPr>
        <w:ind w:left="5040" w:hanging="360"/>
      </w:pPr>
    </w:lvl>
    <w:lvl w:ilvl="7" w:tplc="338020EE">
      <w:start w:val="1"/>
      <w:numFmt w:val="lowerLetter"/>
      <w:lvlText w:val="%8."/>
      <w:lvlJc w:val="left"/>
      <w:pPr>
        <w:ind w:left="5760" w:hanging="360"/>
      </w:pPr>
    </w:lvl>
    <w:lvl w:ilvl="8" w:tplc="9ABC8E52">
      <w:start w:val="1"/>
      <w:numFmt w:val="lowerRoman"/>
      <w:lvlText w:val="%9."/>
      <w:lvlJc w:val="right"/>
      <w:pPr>
        <w:ind w:left="6480" w:hanging="180"/>
      </w:pPr>
    </w:lvl>
  </w:abstractNum>
  <w:abstractNum w:abstractNumId="19" w15:restartNumberingAfterBreak="0">
    <w:nsid w:val="460159D6"/>
    <w:multiLevelType w:val="multilevel"/>
    <w:tmpl w:val="4B488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345A7"/>
    <w:multiLevelType w:val="multilevel"/>
    <w:tmpl w:val="C0BA4F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DA571CC"/>
    <w:multiLevelType w:val="hybridMultilevel"/>
    <w:tmpl w:val="B93A8C8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ED216E3"/>
    <w:multiLevelType w:val="multilevel"/>
    <w:tmpl w:val="854E6E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35342A"/>
    <w:multiLevelType w:val="hybridMultilevel"/>
    <w:tmpl w:val="83F604A8"/>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2217035"/>
    <w:multiLevelType w:val="hybridMultilevel"/>
    <w:tmpl w:val="B984A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A77B9"/>
    <w:multiLevelType w:val="multilevel"/>
    <w:tmpl w:val="A9106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F1F5D"/>
    <w:multiLevelType w:val="multilevel"/>
    <w:tmpl w:val="EA1CC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43A59"/>
    <w:multiLevelType w:val="hybridMultilevel"/>
    <w:tmpl w:val="86DC0B0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95A44"/>
    <w:multiLevelType w:val="multilevel"/>
    <w:tmpl w:val="3524F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33208E"/>
    <w:multiLevelType w:val="multilevel"/>
    <w:tmpl w:val="A28ED13C"/>
    <w:styleLink w:val="BesslerStyle"/>
    <w:lvl w:ilvl="0">
      <w:start w:val="1"/>
      <w:numFmt w:val="upperRoman"/>
      <w:lvlText w:val="%1."/>
      <w:lvlJc w:val="left"/>
      <w:pPr>
        <w:ind w:left="1440" w:hanging="360"/>
      </w:pPr>
      <w:rPr>
        <w:rFonts w:hint="default"/>
      </w:rPr>
    </w:lvl>
    <w:lvl w:ilvl="1">
      <w:start w:val="1"/>
      <w:numFmt w:val="upperLetter"/>
      <w:lvlText w:val="%2."/>
      <w:lvlJc w:val="left"/>
      <w:pPr>
        <w:ind w:left="2160" w:hanging="360"/>
      </w:pPr>
    </w:lvl>
    <w:lvl w:ilvl="2">
      <w:start w:val="1"/>
      <w:numFmt w:val="decimal"/>
      <w:lvlText w:val="%3."/>
      <w:lvlJc w:val="right"/>
      <w:pPr>
        <w:ind w:left="2880" w:hanging="180"/>
      </w:pPr>
    </w:lvl>
    <w:lvl w:ilvl="3">
      <w:start w:val="1"/>
      <w:numFmt w:val="lowerLetter"/>
      <w:lvlText w:val="%4."/>
      <w:lvlJc w:val="left"/>
      <w:pPr>
        <w:ind w:left="3600" w:hanging="360"/>
      </w:pPr>
    </w:lvl>
    <w:lvl w:ilvl="4">
      <w:start w:val="1"/>
      <w:numFmt w:val="lowerRoman"/>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63306373">
    <w:abstractNumId w:val="29"/>
  </w:num>
  <w:num w:numId="2" w16cid:durableId="32652988">
    <w:abstractNumId w:val="0"/>
  </w:num>
  <w:num w:numId="3" w16cid:durableId="1626699052">
    <w:abstractNumId w:val="18"/>
  </w:num>
  <w:num w:numId="4" w16cid:durableId="1239829003">
    <w:abstractNumId w:val="19"/>
  </w:num>
  <w:num w:numId="5" w16cid:durableId="1450320681">
    <w:abstractNumId w:val="12"/>
  </w:num>
  <w:num w:numId="6" w16cid:durableId="392311587">
    <w:abstractNumId w:val="20"/>
  </w:num>
  <w:num w:numId="7" w16cid:durableId="338970664">
    <w:abstractNumId w:val="1"/>
  </w:num>
  <w:num w:numId="8" w16cid:durableId="1806239689">
    <w:abstractNumId w:val="3"/>
  </w:num>
  <w:num w:numId="9" w16cid:durableId="1201626036">
    <w:abstractNumId w:val="2"/>
  </w:num>
  <w:num w:numId="10" w16cid:durableId="1246569459">
    <w:abstractNumId w:val="28"/>
  </w:num>
  <w:num w:numId="11" w16cid:durableId="1565530873">
    <w:abstractNumId w:val="17"/>
  </w:num>
  <w:num w:numId="12" w16cid:durableId="196965623">
    <w:abstractNumId w:val="7"/>
  </w:num>
  <w:num w:numId="13" w16cid:durableId="1980720310">
    <w:abstractNumId w:val="6"/>
  </w:num>
  <w:num w:numId="14" w16cid:durableId="302588980">
    <w:abstractNumId w:val="27"/>
  </w:num>
  <w:num w:numId="15" w16cid:durableId="1541361552">
    <w:abstractNumId w:val="23"/>
  </w:num>
  <w:num w:numId="16" w16cid:durableId="1765759753">
    <w:abstractNumId w:val="11"/>
  </w:num>
  <w:num w:numId="17" w16cid:durableId="646327880">
    <w:abstractNumId w:val="10"/>
  </w:num>
  <w:num w:numId="18" w16cid:durableId="1261913439">
    <w:abstractNumId w:val="15"/>
  </w:num>
  <w:num w:numId="19" w16cid:durableId="469441590">
    <w:abstractNumId w:val="5"/>
  </w:num>
  <w:num w:numId="20" w16cid:durableId="1840996098">
    <w:abstractNumId w:val="9"/>
  </w:num>
  <w:num w:numId="21" w16cid:durableId="454255318">
    <w:abstractNumId w:val="14"/>
  </w:num>
  <w:num w:numId="22" w16cid:durableId="543828815">
    <w:abstractNumId w:val="26"/>
  </w:num>
  <w:num w:numId="23" w16cid:durableId="805510629">
    <w:abstractNumId w:val="16"/>
  </w:num>
  <w:num w:numId="24" w16cid:durableId="8528967">
    <w:abstractNumId w:val="22"/>
  </w:num>
  <w:num w:numId="25" w16cid:durableId="22707092">
    <w:abstractNumId w:val="13"/>
  </w:num>
  <w:num w:numId="26" w16cid:durableId="320818973">
    <w:abstractNumId w:val="25"/>
  </w:num>
  <w:num w:numId="27" w16cid:durableId="1451438317">
    <w:abstractNumId w:val="4"/>
  </w:num>
  <w:num w:numId="28" w16cid:durableId="326446161">
    <w:abstractNumId w:val="8"/>
  </w:num>
  <w:num w:numId="29" w16cid:durableId="1047991517">
    <w:abstractNumId w:val="21"/>
  </w:num>
  <w:num w:numId="30" w16cid:durableId="18022615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68"/>
    <w:rsid w:val="000025C6"/>
    <w:rsid w:val="00041416"/>
    <w:rsid w:val="00055A67"/>
    <w:rsid w:val="000652F4"/>
    <w:rsid w:val="00065974"/>
    <w:rsid w:val="00066196"/>
    <w:rsid w:val="00071DBF"/>
    <w:rsid w:val="0008471F"/>
    <w:rsid w:val="0008473A"/>
    <w:rsid w:val="00097502"/>
    <w:rsid w:val="000B1258"/>
    <w:rsid w:val="000B35AD"/>
    <w:rsid w:val="000B4365"/>
    <w:rsid w:val="000C74D8"/>
    <w:rsid w:val="00110303"/>
    <w:rsid w:val="00123E95"/>
    <w:rsid w:val="00146621"/>
    <w:rsid w:val="001507D2"/>
    <w:rsid w:val="001527AA"/>
    <w:rsid w:val="001568A0"/>
    <w:rsid w:val="0016017E"/>
    <w:rsid w:val="00165DCB"/>
    <w:rsid w:val="00171775"/>
    <w:rsid w:val="00171BE1"/>
    <w:rsid w:val="001869D1"/>
    <w:rsid w:val="001919CF"/>
    <w:rsid w:val="00193E14"/>
    <w:rsid w:val="00194400"/>
    <w:rsid w:val="001A2092"/>
    <w:rsid w:val="001A2383"/>
    <w:rsid w:val="001A37FF"/>
    <w:rsid w:val="001C03D8"/>
    <w:rsid w:val="001C0CBC"/>
    <w:rsid w:val="001C2234"/>
    <w:rsid w:val="001E2893"/>
    <w:rsid w:val="001E3876"/>
    <w:rsid w:val="002008DE"/>
    <w:rsid w:val="00210BCE"/>
    <w:rsid w:val="002134BC"/>
    <w:rsid w:val="00224B04"/>
    <w:rsid w:val="002518F9"/>
    <w:rsid w:val="00251B3B"/>
    <w:rsid w:val="00253765"/>
    <w:rsid w:val="00255178"/>
    <w:rsid w:val="002868E7"/>
    <w:rsid w:val="002A1A05"/>
    <w:rsid w:val="002B1333"/>
    <w:rsid w:val="002B6821"/>
    <w:rsid w:val="002D1A0C"/>
    <w:rsid w:val="002D4196"/>
    <w:rsid w:val="002E3E24"/>
    <w:rsid w:val="002E60BE"/>
    <w:rsid w:val="00302F53"/>
    <w:rsid w:val="00324572"/>
    <w:rsid w:val="0033456B"/>
    <w:rsid w:val="0034693B"/>
    <w:rsid w:val="00355113"/>
    <w:rsid w:val="003634A4"/>
    <w:rsid w:val="003810FB"/>
    <w:rsid w:val="00384D24"/>
    <w:rsid w:val="00387561"/>
    <w:rsid w:val="003A11C5"/>
    <w:rsid w:val="003B6EC9"/>
    <w:rsid w:val="003E0C64"/>
    <w:rsid w:val="003F538D"/>
    <w:rsid w:val="003F6F87"/>
    <w:rsid w:val="00425670"/>
    <w:rsid w:val="0043117D"/>
    <w:rsid w:val="00455072"/>
    <w:rsid w:val="004559FA"/>
    <w:rsid w:val="00474413"/>
    <w:rsid w:val="004A2CB4"/>
    <w:rsid w:val="004C57F8"/>
    <w:rsid w:val="004D125C"/>
    <w:rsid w:val="004D44BE"/>
    <w:rsid w:val="004D4BCA"/>
    <w:rsid w:val="004E2E68"/>
    <w:rsid w:val="00501EC8"/>
    <w:rsid w:val="00502BDB"/>
    <w:rsid w:val="00532F4D"/>
    <w:rsid w:val="00540264"/>
    <w:rsid w:val="00552C29"/>
    <w:rsid w:val="00573C33"/>
    <w:rsid w:val="00595776"/>
    <w:rsid w:val="005A1EC3"/>
    <w:rsid w:val="005A32A1"/>
    <w:rsid w:val="005C267B"/>
    <w:rsid w:val="005C3E37"/>
    <w:rsid w:val="005D3841"/>
    <w:rsid w:val="00615CEA"/>
    <w:rsid w:val="006233AD"/>
    <w:rsid w:val="00627191"/>
    <w:rsid w:val="00632BFA"/>
    <w:rsid w:val="006757F4"/>
    <w:rsid w:val="006804DD"/>
    <w:rsid w:val="00681EED"/>
    <w:rsid w:val="00683026"/>
    <w:rsid w:val="00683B43"/>
    <w:rsid w:val="00690D77"/>
    <w:rsid w:val="006A1796"/>
    <w:rsid w:val="006A2940"/>
    <w:rsid w:val="006A60F5"/>
    <w:rsid w:val="006A61D3"/>
    <w:rsid w:val="006D3595"/>
    <w:rsid w:val="006D5E5B"/>
    <w:rsid w:val="00700111"/>
    <w:rsid w:val="007001A8"/>
    <w:rsid w:val="00707C03"/>
    <w:rsid w:val="00707C88"/>
    <w:rsid w:val="00717E89"/>
    <w:rsid w:val="0072076D"/>
    <w:rsid w:val="00723439"/>
    <w:rsid w:val="00725161"/>
    <w:rsid w:val="0074739B"/>
    <w:rsid w:val="00751F1E"/>
    <w:rsid w:val="00757AE4"/>
    <w:rsid w:val="00763C14"/>
    <w:rsid w:val="00764964"/>
    <w:rsid w:val="00777A3A"/>
    <w:rsid w:val="007804B2"/>
    <w:rsid w:val="007843CA"/>
    <w:rsid w:val="00784FE4"/>
    <w:rsid w:val="007B034A"/>
    <w:rsid w:val="007B6268"/>
    <w:rsid w:val="007D565B"/>
    <w:rsid w:val="007E5CCA"/>
    <w:rsid w:val="007E770C"/>
    <w:rsid w:val="007F30F4"/>
    <w:rsid w:val="008012FC"/>
    <w:rsid w:val="00821E77"/>
    <w:rsid w:val="008519FE"/>
    <w:rsid w:val="00862266"/>
    <w:rsid w:val="00865A84"/>
    <w:rsid w:val="0089468D"/>
    <w:rsid w:val="008A3377"/>
    <w:rsid w:val="008A67D6"/>
    <w:rsid w:val="008B19A1"/>
    <w:rsid w:val="008B3471"/>
    <w:rsid w:val="008C4F85"/>
    <w:rsid w:val="008D51B4"/>
    <w:rsid w:val="008E1CFC"/>
    <w:rsid w:val="008E4D3B"/>
    <w:rsid w:val="008E5998"/>
    <w:rsid w:val="008F1228"/>
    <w:rsid w:val="008F243F"/>
    <w:rsid w:val="00901086"/>
    <w:rsid w:val="0090540E"/>
    <w:rsid w:val="00912771"/>
    <w:rsid w:val="009141F2"/>
    <w:rsid w:val="00915254"/>
    <w:rsid w:val="009407DC"/>
    <w:rsid w:val="00941F7A"/>
    <w:rsid w:val="00951CA6"/>
    <w:rsid w:val="009544F4"/>
    <w:rsid w:val="00960F13"/>
    <w:rsid w:val="00967683"/>
    <w:rsid w:val="009747CA"/>
    <w:rsid w:val="00981E91"/>
    <w:rsid w:val="00982E31"/>
    <w:rsid w:val="00982E8E"/>
    <w:rsid w:val="009863D0"/>
    <w:rsid w:val="00993543"/>
    <w:rsid w:val="00995766"/>
    <w:rsid w:val="009963E8"/>
    <w:rsid w:val="0099779D"/>
    <w:rsid w:val="009A1B90"/>
    <w:rsid w:val="009B00D7"/>
    <w:rsid w:val="009C706C"/>
    <w:rsid w:val="009C753A"/>
    <w:rsid w:val="009D2A0A"/>
    <w:rsid w:val="009E4EA8"/>
    <w:rsid w:val="009E7D8C"/>
    <w:rsid w:val="009F4D0F"/>
    <w:rsid w:val="00A05CFD"/>
    <w:rsid w:val="00A104E0"/>
    <w:rsid w:val="00A14B09"/>
    <w:rsid w:val="00A27357"/>
    <w:rsid w:val="00A36324"/>
    <w:rsid w:val="00A5225F"/>
    <w:rsid w:val="00A57095"/>
    <w:rsid w:val="00A60AA6"/>
    <w:rsid w:val="00A91E3C"/>
    <w:rsid w:val="00A93858"/>
    <w:rsid w:val="00AB105E"/>
    <w:rsid w:val="00AB1CB9"/>
    <w:rsid w:val="00AC45E3"/>
    <w:rsid w:val="00AD6319"/>
    <w:rsid w:val="00AE17C2"/>
    <w:rsid w:val="00AE1A50"/>
    <w:rsid w:val="00B01FFF"/>
    <w:rsid w:val="00B32499"/>
    <w:rsid w:val="00B53BA8"/>
    <w:rsid w:val="00B602C2"/>
    <w:rsid w:val="00B60F32"/>
    <w:rsid w:val="00B66BE0"/>
    <w:rsid w:val="00B84102"/>
    <w:rsid w:val="00BA57CF"/>
    <w:rsid w:val="00BA79E0"/>
    <w:rsid w:val="00BB7799"/>
    <w:rsid w:val="00BC1D16"/>
    <w:rsid w:val="00BE5BD2"/>
    <w:rsid w:val="00BE6CF9"/>
    <w:rsid w:val="00BF434A"/>
    <w:rsid w:val="00C03FB9"/>
    <w:rsid w:val="00C1163A"/>
    <w:rsid w:val="00C12B47"/>
    <w:rsid w:val="00C221F0"/>
    <w:rsid w:val="00C377C6"/>
    <w:rsid w:val="00C50869"/>
    <w:rsid w:val="00C6617E"/>
    <w:rsid w:val="00C71017"/>
    <w:rsid w:val="00C74E23"/>
    <w:rsid w:val="00C76442"/>
    <w:rsid w:val="00C84105"/>
    <w:rsid w:val="00C95ED8"/>
    <w:rsid w:val="00CA5DD6"/>
    <w:rsid w:val="00CC7A30"/>
    <w:rsid w:val="00CD2BC9"/>
    <w:rsid w:val="00CF5A7B"/>
    <w:rsid w:val="00D00814"/>
    <w:rsid w:val="00D2287F"/>
    <w:rsid w:val="00D3067B"/>
    <w:rsid w:val="00D31282"/>
    <w:rsid w:val="00D40058"/>
    <w:rsid w:val="00D564B2"/>
    <w:rsid w:val="00D65B4C"/>
    <w:rsid w:val="00D6752F"/>
    <w:rsid w:val="00D947B2"/>
    <w:rsid w:val="00DB073F"/>
    <w:rsid w:val="00DC3C50"/>
    <w:rsid w:val="00DE1EF3"/>
    <w:rsid w:val="00E14AD3"/>
    <w:rsid w:val="00E153AB"/>
    <w:rsid w:val="00E210A4"/>
    <w:rsid w:val="00E25330"/>
    <w:rsid w:val="00E26AD4"/>
    <w:rsid w:val="00E30D8E"/>
    <w:rsid w:val="00E32464"/>
    <w:rsid w:val="00E3426B"/>
    <w:rsid w:val="00E372D4"/>
    <w:rsid w:val="00E42619"/>
    <w:rsid w:val="00E4386D"/>
    <w:rsid w:val="00E53A80"/>
    <w:rsid w:val="00E56098"/>
    <w:rsid w:val="00E61E31"/>
    <w:rsid w:val="00E90910"/>
    <w:rsid w:val="00E9336F"/>
    <w:rsid w:val="00E93CFE"/>
    <w:rsid w:val="00EC2B69"/>
    <w:rsid w:val="00ED78FA"/>
    <w:rsid w:val="00EE2F7A"/>
    <w:rsid w:val="00F0543C"/>
    <w:rsid w:val="00F10110"/>
    <w:rsid w:val="00F6492B"/>
    <w:rsid w:val="00F73F71"/>
    <w:rsid w:val="00F87E6F"/>
    <w:rsid w:val="00F9775B"/>
    <w:rsid w:val="00FA3F88"/>
    <w:rsid w:val="00FA4A3E"/>
    <w:rsid w:val="00FB1654"/>
    <w:rsid w:val="00FC4ED6"/>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248A3"/>
  <w15:chartTrackingRefBased/>
  <w15:docId w15:val="{9AEB4548-2241-479A-AC6F-3F4D7A65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2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slerStyle">
    <w:name w:val="Bessler Style"/>
    <w:uiPriority w:val="99"/>
    <w:rsid w:val="00F0543C"/>
    <w:pPr>
      <w:numPr>
        <w:numId w:val="1"/>
      </w:numPr>
    </w:pPr>
  </w:style>
  <w:style w:type="character" w:styleId="Hyperlink">
    <w:name w:val="Hyperlink"/>
    <w:basedOn w:val="DefaultParagraphFont"/>
    <w:uiPriority w:val="99"/>
    <w:unhideWhenUsed/>
    <w:rsid w:val="007B6268"/>
    <w:rPr>
      <w:color w:val="0563C1" w:themeColor="hyperlink"/>
      <w:u w:val="single"/>
    </w:rPr>
  </w:style>
  <w:style w:type="paragraph" w:styleId="ListParagraph">
    <w:name w:val="List Paragraph"/>
    <w:basedOn w:val="Normal"/>
    <w:uiPriority w:val="34"/>
    <w:qFormat/>
    <w:rsid w:val="007B6268"/>
    <w:pPr>
      <w:ind w:left="720"/>
      <w:contextualSpacing/>
    </w:pPr>
  </w:style>
  <w:style w:type="paragraph" w:customStyle="1" w:styleId="paragraph">
    <w:name w:val="paragraph"/>
    <w:basedOn w:val="Normal"/>
    <w:rsid w:val="007B6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6268"/>
  </w:style>
  <w:style w:type="character" w:customStyle="1" w:styleId="eop">
    <w:name w:val="eop"/>
    <w:basedOn w:val="DefaultParagraphFont"/>
    <w:rsid w:val="007B6268"/>
  </w:style>
  <w:style w:type="character" w:styleId="UnresolvedMention">
    <w:name w:val="Unresolved Mention"/>
    <w:basedOn w:val="DefaultParagraphFont"/>
    <w:uiPriority w:val="99"/>
    <w:semiHidden/>
    <w:unhideWhenUsed/>
    <w:rsid w:val="003810FB"/>
    <w:rPr>
      <w:color w:val="605E5C"/>
      <w:shd w:val="clear" w:color="auto" w:fill="E1DFDD"/>
    </w:rPr>
  </w:style>
  <w:style w:type="character" w:customStyle="1" w:styleId="contextualspellingandgrammarerror">
    <w:name w:val="contextualspellingandgrammarerror"/>
    <w:basedOn w:val="DefaultParagraphFont"/>
    <w:rsid w:val="001A2383"/>
  </w:style>
  <w:style w:type="character" w:customStyle="1" w:styleId="tabchar">
    <w:name w:val="tabchar"/>
    <w:basedOn w:val="DefaultParagraphFont"/>
    <w:rsid w:val="006804DD"/>
  </w:style>
  <w:style w:type="paragraph" w:styleId="Header">
    <w:name w:val="header"/>
    <w:basedOn w:val="Normal"/>
    <w:link w:val="HeaderChar"/>
    <w:uiPriority w:val="99"/>
    <w:unhideWhenUsed/>
    <w:rsid w:val="00097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502"/>
  </w:style>
  <w:style w:type="paragraph" w:styleId="Footer">
    <w:name w:val="footer"/>
    <w:basedOn w:val="Normal"/>
    <w:link w:val="FooterChar"/>
    <w:uiPriority w:val="99"/>
    <w:unhideWhenUsed/>
    <w:rsid w:val="00097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502"/>
  </w:style>
  <w:style w:type="paragraph" w:styleId="NoSpacing">
    <w:name w:val="No Spacing"/>
    <w:uiPriority w:val="1"/>
    <w:qFormat/>
    <w:rsid w:val="007F30F4"/>
    <w:pPr>
      <w:spacing w:after="0" w:line="240" w:lineRule="auto"/>
    </w:pPr>
  </w:style>
  <w:style w:type="character" w:styleId="FollowedHyperlink">
    <w:name w:val="FollowedHyperlink"/>
    <w:basedOn w:val="DefaultParagraphFont"/>
    <w:uiPriority w:val="99"/>
    <w:semiHidden/>
    <w:unhideWhenUsed/>
    <w:rsid w:val="008E59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28594">
      <w:bodyDiv w:val="1"/>
      <w:marLeft w:val="0"/>
      <w:marRight w:val="0"/>
      <w:marTop w:val="0"/>
      <w:marBottom w:val="0"/>
      <w:divBdr>
        <w:top w:val="none" w:sz="0" w:space="0" w:color="auto"/>
        <w:left w:val="none" w:sz="0" w:space="0" w:color="auto"/>
        <w:bottom w:val="none" w:sz="0" w:space="0" w:color="auto"/>
        <w:right w:val="none" w:sz="0" w:space="0" w:color="auto"/>
      </w:divBdr>
      <w:divsChild>
        <w:div w:id="1644700426">
          <w:marLeft w:val="0"/>
          <w:marRight w:val="0"/>
          <w:marTop w:val="0"/>
          <w:marBottom w:val="0"/>
          <w:divBdr>
            <w:top w:val="none" w:sz="0" w:space="0" w:color="auto"/>
            <w:left w:val="none" w:sz="0" w:space="0" w:color="auto"/>
            <w:bottom w:val="none" w:sz="0" w:space="0" w:color="auto"/>
            <w:right w:val="none" w:sz="0" w:space="0" w:color="auto"/>
          </w:divBdr>
          <w:divsChild>
            <w:div w:id="336225996">
              <w:marLeft w:val="0"/>
              <w:marRight w:val="0"/>
              <w:marTop w:val="0"/>
              <w:marBottom w:val="0"/>
              <w:divBdr>
                <w:top w:val="none" w:sz="0" w:space="0" w:color="auto"/>
                <w:left w:val="none" w:sz="0" w:space="0" w:color="auto"/>
                <w:bottom w:val="none" w:sz="0" w:space="0" w:color="auto"/>
                <w:right w:val="none" w:sz="0" w:space="0" w:color="auto"/>
              </w:divBdr>
            </w:div>
            <w:div w:id="1045788900">
              <w:marLeft w:val="0"/>
              <w:marRight w:val="0"/>
              <w:marTop w:val="0"/>
              <w:marBottom w:val="0"/>
              <w:divBdr>
                <w:top w:val="none" w:sz="0" w:space="0" w:color="auto"/>
                <w:left w:val="none" w:sz="0" w:space="0" w:color="auto"/>
                <w:bottom w:val="none" w:sz="0" w:space="0" w:color="auto"/>
                <w:right w:val="none" w:sz="0" w:space="0" w:color="auto"/>
              </w:divBdr>
            </w:div>
            <w:div w:id="1420177279">
              <w:marLeft w:val="0"/>
              <w:marRight w:val="0"/>
              <w:marTop w:val="0"/>
              <w:marBottom w:val="0"/>
              <w:divBdr>
                <w:top w:val="none" w:sz="0" w:space="0" w:color="auto"/>
                <w:left w:val="none" w:sz="0" w:space="0" w:color="auto"/>
                <w:bottom w:val="none" w:sz="0" w:space="0" w:color="auto"/>
                <w:right w:val="none" w:sz="0" w:space="0" w:color="auto"/>
              </w:divBdr>
            </w:div>
            <w:div w:id="2028557747">
              <w:marLeft w:val="0"/>
              <w:marRight w:val="0"/>
              <w:marTop w:val="0"/>
              <w:marBottom w:val="0"/>
              <w:divBdr>
                <w:top w:val="none" w:sz="0" w:space="0" w:color="auto"/>
                <w:left w:val="none" w:sz="0" w:space="0" w:color="auto"/>
                <w:bottom w:val="none" w:sz="0" w:space="0" w:color="auto"/>
                <w:right w:val="none" w:sz="0" w:space="0" w:color="auto"/>
              </w:divBdr>
            </w:div>
          </w:divsChild>
        </w:div>
        <w:div w:id="2112117071">
          <w:marLeft w:val="0"/>
          <w:marRight w:val="0"/>
          <w:marTop w:val="0"/>
          <w:marBottom w:val="0"/>
          <w:divBdr>
            <w:top w:val="none" w:sz="0" w:space="0" w:color="auto"/>
            <w:left w:val="none" w:sz="0" w:space="0" w:color="auto"/>
            <w:bottom w:val="none" w:sz="0" w:space="0" w:color="auto"/>
            <w:right w:val="none" w:sz="0" w:space="0" w:color="auto"/>
          </w:divBdr>
          <w:divsChild>
            <w:div w:id="1996952131">
              <w:marLeft w:val="0"/>
              <w:marRight w:val="0"/>
              <w:marTop w:val="0"/>
              <w:marBottom w:val="0"/>
              <w:divBdr>
                <w:top w:val="none" w:sz="0" w:space="0" w:color="auto"/>
                <w:left w:val="none" w:sz="0" w:space="0" w:color="auto"/>
                <w:bottom w:val="none" w:sz="0" w:space="0" w:color="auto"/>
                <w:right w:val="none" w:sz="0" w:space="0" w:color="auto"/>
              </w:divBdr>
            </w:div>
            <w:div w:id="592008663">
              <w:marLeft w:val="0"/>
              <w:marRight w:val="0"/>
              <w:marTop w:val="0"/>
              <w:marBottom w:val="0"/>
              <w:divBdr>
                <w:top w:val="none" w:sz="0" w:space="0" w:color="auto"/>
                <w:left w:val="none" w:sz="0" w:space="0" w:color="auto"/>
                <w:bottom w:val="none" w:sz="0" w:space="0" w:color="auto"/>
                <w:right w:val="none" w:sz="0" w:space="0" w:color="auto"/>
              </w:divBdr>
            </w:div>
            <w:div w:id="1062287985">
              <w:marLeft w:val="0"/>
              <w:marRight w:val="0"/>
              <w:marTop w:val="0"/>
              <w:marBottom w:val="0"/>
              <w:divBdr>
                <w:top w:val="none" w:sz="0" w:space="0" w:color="auto"/>
                <w:left w:val="none" w:sz="0" w:space="0" w:color="auto"/>
                <w:bottom w:val="none" w:sz="0" w:space="0" w:color="auto"/>
                <w:right w:val="none" w:sz="0" w:space="0" w:color="auto"/>
              </w:divBdr>
            </w:div>
            <w:div w:id="678045205">
              <w:marLeft w:val="0"/>
              <w:marRight w:val="0"/>
              <w:marTop w:val="0"/>
              <w:marBottom w:val="0"/>
              <w:divBdr>
                <w:top w:val="none" w:sz="0" w:space="0" w:color="auto"/>
                <w:left w:val="none" w:sz="0" w:space="0" w:color="auto"/>
                <w:bottom w:val="none" w:sz="0" w:space="0" w:color="auto"/>
                <w:right w:val="none" w:sz="0" w:space="0" w:color="auto"/>
              </w:divBdr>
            </w:div>
          </w:divsChild>
        </w:div>
        <w:div w:id="1529175588">
          <w:marLeft w:val="0"/>
          <w:marRight w:val="0"/>
          <w:marTop w:val="0"/>
          <w:marBottom w:val="0"/>
          <w:divBdr>
            <w:top w:val="none" w:sz="0" w:space="0" w:color="auto"/>
            <w:left w:val="none" w:sz="0" w:space="0" w:color="auto"/>
            <w:bottom w:val="none" w:sz="0" w:space="0" w:color="auto"/>
            <w:right w:val="none" w:sz="0" w:space="0" w:color="auto"/>
          </w:divBdr>
        </w:div>
        <w:div w:id="872961197">
          <w:marLeft w:val="0"/>
          <w:marRight w:val="0"/>
          <w:marTop w:val="0"/>
          <w:marBottom w:val="0"/>
          <w:divBdr>
            <w:top w:val="none" w:sz="0" w:space="0" w:color="auto"/>
            <w:left w:val="none" w:sz="0" w:space="0" w:color="auto"/>
            <w:bottom w:val="none" w:sz="0" w:space="0" w:color="auto"/>
            <w:right w:val="none" w:sz="0" w:space="0" w:color="auto"/>
          </w:divBdr>
        </w:div>
      </w:divsChild>
    </w:div>
    <w:div w:id="232589959">
      <w:bodyDiv w:val="1"/>
      <w:marLeft w:val="0"/>
      <w:marRight w:val="0"/>
      <w:marTop w:val="0"/>
      <w:marBottom w:val="0"/>
      <w:divBdr>
        <w:top w:val="none" w:sz="0" w:space="0" w:color="auto"/>
        <w:left w:val="none" w:sz="0" w:space="0" w:color="auto"/>
        <w:bottom w:val="none" w:sz="0" w:space="0" w:color="auto"/>
        <w:right w:val="none" w:sz="0" w:space="0" w:color="auto"/>
      </w:divBdr>
      <w:divsChild>
        <w:div w:id="291786499">
          <w:marLeft w:val="0"/>
          <w:marRight w:val="0"/>
          <w:marTop w:val="0"/>
          <w:marBottom w:val="0"/>
          <w:divBdr>
            <w:top w:val="none" w:sz="0" w:space="0" w:color="auto"/>
            <w:left w:val="none" w:sz="0" w:space="0" w:color="auto"/>
            <w:bottom w:val="none" w:sz="0" w:space="0" w:color="auto"/>
            <w:right w:val="none" w:sz="0" w:space="0" w:color="auto"/>
          </w:divBdr>
        </w:div>
        <w:div w:id="1037704780">
          <w:marLeft w:val="0"/>
          <w:marRight w:val="0"/>
          <w:marTop w:val="0"/>
          <w:marBottom w:val="0"/>
          <w:divBdr>
            <w:top w:val="none" w:sz="0" w:space="0" w:color="auto"/>
            <w:left w:val="none" w:sz="0" w:space="0" w:color="auto"/>
            <w:bottom w:val="none" w:sz="0" w:space="0" w:color="auto"/>
            <w:right w:val="none" w:sz="0" w:space="0" w:color="auto"/>
          </w:divBdr>
        </w:div>
        <w:div w:id="1388917062">
          <w:marLeft w:val="0"/>
          <w:marRight w:val="0"/>
          <w:marTop w:val="0"/>
          <w:marBottom w:val="0"/>
          <w:divBdr>
            <w:top w:val="none" w:sz="0" w:space="0" w:color="auto"/>
            <w:left w:val="none" w:sz="0" w:space="0" w:color="auto"/>
            <w:bottom w:val="none" w:sz="0" w:space="0" w:color="auto"/>
            <w:right w:val="none" w:sz="0" w:space="0" w:color="auto"/>
          </w:divBdr>
        </w:div>
        <w:div w:id="1852910322">
          <w:marLeft w:val="0"/>
          <w:marRight w:val="0"/>
          <w:marTop w:val="0"/>
          <w:marBottom w:val="0"/>
          <w:divBdr>
            <w:top w:val="none" w:sz="0" w:space="0" w:color="auto"/>
            <w:left w:val="none" w:sz="0" w:space="0" w:color="auto"/>
            <w:bottom w:val="none" w:sz="0" w:space="0" w:color="auto"/>
            <w:right w:val="none" w:sz="0" w:space="0" w:color="auto"/>
          </w:divBdr>
        </w:div>
      </w:divsChild>
    </w:div>
    <w:div w:id="247734026">
      <w:bodyDiv w:val="1"/>
      <w:marLeft w:val="0"/>
      <w:marRight w:val="0"/>
      <w:marTop w:val="0"/>
      <w:marBottom w:val="0"/>
      <w:divBdr>
        <w:top w:val="none" w:sz="0" w:space="0" w:color="auto"/>
        <w:left w:val="none" w:sz="0" w:space="0" w:color="auto"/>
        <w:bottom w:val="none" w:sz="0" w:space="0" w:color="auto"/>
        <w:right w:val="none" w:sz="0" w:space="0" w:color="auto"/>
      </w:divBdr>
    </w:div>
    <w:div w:id="958992014">
      <w:bodyDiv w:val="1"/>
      <w:marLeft w:val="0"/>
      <w:marRight w:val="0"/>
      <w:marTop w:val="0"/>
      <w:marBottom w:val="0"/>
      <w:divBdr>
        <w:top w:val="none" w:sz="0" w:space="0" w:color="auto"/>
        <w:left w:val="none" w:sz="0" w:space="0" w:color="auto"/>
        <w:bottom w:val="none" w:sz="0" w:space="0" w:color="auto"/>
        <w:right w:val="none" w:sz="0" w:space="0" w:color="auto"/>
      </w:divBdr>
      <w:divsChild>
        <w:div w:id="1291714611">
          <w:marLeft w:val="0"/>
          <w:marRight w:val="0"/>
          <w:marTop w:val="0"/>
          <w:marBottom w:val="0"/>
          <w:divBdr>
            <w:top w:val="none" w:sz="0" w:space="0" w:color="auto"/>
            <w:left w:val="none" w:sz="0" w:space="0" w:color="auto"/>
            <w:bottom w:val="none" w:sz="0" w:space="0" w:color="auto"/>
            <w:right w:val="none" w:sz="0" w:space="0" w:color="auto"/>
          </w:divBdr>
        </w:div>
        <w:div w:id="83695653">
          <w:marLeft w:val="0"/>
          <w:marRight w:val="0"/>
          <w:marTop w:val="0"/>
          <w:marBottom w:val="0"/>
          <w:divBdr>
            <w:top w:val="none" w:sz="0" w:space="0" w:color="auto"/>
            <w:left w:val="none" w:sz="0" w:space="0" w:color="auto"/>
            <w:bottom w:val="none" w:sz="0" w:space="0" w:color="auto"/>
            <w:right w:val="none" w:sz="0" w:space="0" w:color="auto"/>
          </w:divBdr>
        </w:div>
        <w:div w:id="1512992572">
          <w:marLeft w:val="0"/>
          <w:marRight w:val="0"/>
          <w:marTop w:val="0"/>
          <w:marBottom w:val="0"/>
          <w:divBdr>
            <w:top w:val="none" w:sz="0" w:space="0" w:color="auto"/>
            <w:left w:val="none" w:sz="0" w:space="0" w:color="auto"/>
            <w:bottom w:val="none" w:sz="0" w:space="0" w:color="auto"/>
            <w:right w:val="none" w:sz="0" w:space="0" w:color="auto"/>
          </w:divBdr>
        </w:div>
        <w:div w:id="745808355">
          <w:marLeft w:val="0"/>
          <w:marRight w:val="0"/>
          <w:marTop w:val="0"/>
          <w:marBottom w:val="0"/>
          <w:divBdr>
            <w:top w:val="none" w:sz="0" w:space="0" w:color="auto"/>
            <w:left w:val="none" w:sz="0" w:space="0" w:color="auto"/>
            <w:bottom w:val="none" w:sz="0" w:space="0" w:color="auto"/>
            <w:right w:val="none" w:sz="0" w:space="0" w:color="auto"/>
          </w:divBdr>
        </w:div>
        <w:div w:id="167988994">
          <w:marLeft w:val="0"/>
          <w:marRight w:val="0"/>
          <w:marTop w:val="0"/>
          <w:marBottom w:val="0"/>
          <w:divBdr>
            <w:top w:val="none" w:sz="0" w:space="0" w:color="auto"/>
            <w:left w:val="none" w:sz="0" w:space="0" w:color="auto"/>
            <w:bottom w:val="none" w:sz="0" w:space="0" w:color="auto"/>
            <w:right w:val="none" w:sz="0" w:space="0" w:color="auto"/>
          </w:divBdr>
        </w:div>
        <w:div w:id="1441492849">
          <w:marLeft w:val="0"/>
          <w:marRight w:val="0"/>
          <w:marTop w:val="0"/>
          <w:marBottom w:val="0"/>
          <w:divBdr>
            <w:top w:val="none" w:sz="0" w:space="0" w:color="auto"/>
            <w:left w:val="none" w:sz="0" w:space="0" w:color="auto"/>
            <w:bottom w:val="none" w:sz="0" w:space="0" w:color="auto"/>
            <w:right w:val="none" w:sz="0" w:space="0" w:color="auto"/>
          </w:divBdr>
        </w:div>
        <w:div w:id="1621644395">
          <w:marLeft w:val="0"/>
          <w:marRight w:val="0"/>
          <w:marTop w:val="0"/>
          <w:marBottom w:val="0"/>
          <w:divBdr>
            <w:top w:val="none" w:sz="0" w:space="0" w:color="auto"/>
            <w:left w:val="none" w:sz="0" w:space="0" w:color="auto"/>
            <w:bottom w:val="none" w:sz="0" w:space="0" w:color="auto"/>
            <w:right w:val="none" w:sz="0" w:space="0" w:color="auto"/>
          </w:divBdr>
        </w:div>
        <w:div w:id="216669303">
          <w:marLeft w:val="0"/>
          <w:marRight w:val="0"/>
          <w:marTop w:val="0"/>
          <w:marBottom w:val="0"/>
          <w:divBdr>
            <w:top w:val="none" w:sz="0" w:space="0" w:color="auto"/>
            <w:left w:val="none" w:sz="0" w:space="0" w:color="auto"/>
            <w:bottom w:val="none" w:sz="0" w:space="0" w:color="auto"/>
            <w:right w:val="none" w:sz="0" w:space="0" w:color="auto"/>
          </w:divBdr>
        </w:div>
        <w:div w:id="528956361">
          <w:marLeft w:val="0"/>
          <w:marRight w:val="0"/>
          <w:marTop w:val="0"/>
          <w:marBottom w:val="0"/>
          <w:divBdr>
            <w:top w:val="none" w:sz="0" w:space="0" w:color="auto"/>
            <w:left w:val="none" w:sz="0" w:space="0" w:color="auto"/>
            <w:bottom w:val="none" w:sz="0" w:space="0" w:color="auto"/>
            <w:right w:val="none" w:sz="0" w:space="0" w:color="auto"/>
          </w:divBdr>
        </w:div>
        <w:div w:id="1606186474">
          <w:marLeft w:val="0"/>
          <w:marRight w:val="0"/>
          <w:marTop w:val="0"/>
          <w:marBottom w:val="0"/>
          <w:divBdr>
            <w:top w:val="none" w:sz="0" w:space="0" w:color="auto"/>
            <w:left w:val="none" w:sz="0" w:space="0" w:color="auto"/>
            <w:bottom w:val="none" w:sz="0" w:space="0" w:color="auto"/>
            <w:right w:val="none" w:sz="0" w:space="0" w:color="auto"/>
          </w:divBdr>
        </w:div>
      </w:divsChild>
    </w:div>
    <w:div w:id="1221095254">
      <w:bodyDiv w:val="1"/>
      <w:marLeft w:val="0"/>
      <w:marRight w:val="0"/>
      <w:marTop w:val="0"/>
      <w:marBottom w:val="0"/>
      <w:divBdr>
        <w:top w:val="none" w:sz="0" w:space="0" w:color="auto"/>
        <w:left w:val="none" w:sz="0" w:space="0" w:color="auto"/>
        <w:bottom w:val="none" w:sz="0" w:space="0" w:color="auto"/>
        <w:right w:val="none" w:sz="0" w:space="0" w:color="auto"/>
      </w:divBdr>
      <w:divsChild>
        <w:div w:id="1023557123">
          <w:marLeft w:val="0"/>
          <w:marRight w:val="0"/>
          <w:marTop w:val="0"/>
          <w:marBottom w:val="0"/>
          <w:divBdr>
            <w:top w:val="none" w:sz="0" w:space="0" w:color="auto"/>
            <w:left w:val="none" w:sz="0" w:space="0" w:color="auto"/>
            <w:bottom w:val="none" w:sz="0" w:space="0" w:color="auto"/>
            <w:right w:val="none" w:sz="0" w:space="0" w:color="auto"/>
          </w:divBdr>
        </w:div>
        <w:div w:id="322517002">
          <w:marLeft w:val="0"/>
          <w:marRight w:val="0"/>
          <w:marTop w:val="0"/>
          <w:marBottom w:val="0"/>
          <w:divBdr>
            <w:top w:val="none" w:sz="0" w:space="0" w:color="auto"/>
            <w:left w:val="none" w:sz="0" w:space="0" w:color="auto"/>
            <w:bottom w:val="none" w:sz="0" w:space="0" w:color="auto"/>
            <w:right w:val="none" w:sz="0" w:space="0" w:color="auto"/>
          </w:divBdr>
        </w:div>
        <w:div w:id="33695578">
          <w:marLeft w:val="0"/>
          <w:marRight w:val="0"/>
          <w:marTop w:val="0"/>
          <w:marBottom w:val="0"/>
          <w:divBdr>
            <w:top w:val="none" w:sz="0" w:space="0" w:color="auto"/>
            <w:left w:val="none" w:sz="0" w:space="0" w:color="auto"/>
            <w:bottom w:val="none" w:sz="0" w:space="0" w:color="auto"/>
            <w:right w:val="none" w:sz="0" w:space="0" w:color="auto"/>
          </w:divBdr>
        </w:div>
      </w:divsChild>
    </w:div>
    <w:div w:id="1224872058">
      <w:bodyDiv w:val="1"/>
      <w:marLeft w:val="0"/>
      <w:marRight w:val="0"/>
      <w:marTop w:val="0"/>
      <w:marBottom w:val="0"/>
      <w:divBdr>
        <w:top w:val="none" w:sz="0" w:space="0" w:color="auto"/>
        <w:left w:val="none" w:sz="0" w:space="0" w:color="auto"/>
        <w:bottom w:val="none" w:sz="0" w:space="0" w:color="auto"/>
        <w:right w:val="none" w:sz="0" w:space="0" w:color="auto"/>
      </w:divBdr>
      <w:divsChild>
        <w:div w:id="143089442">
          <w:marLeft w:val="0"/>
          <w:marRight w:val="0"/>
          <w:marTop w:val="0"/>
          <w:marBottom w:val="0"/>
          <w:divBdr>
            <w:top w:val="none" w:sz="0" w:space="0" w:color="auto"/>
            <w:left w:val="none" w:sz="0" w:space="0" w:color="auto"/>
            <w:bottom w:val="none" w:sz="0" w:space="0" w:color="auto"/>
            <w:right w:val="none" w:sz="0" w:space="0" w:color="auto"/>
          </w:divBdr>
        </w:div>
        <w:div w:id="1085607969">
          <w:marLeft w:val="0"/>
          <w:marRight w:val="0"/>
          <w:marTop w:val="0"/>
          <w:marBottom w:val="0"/>
          <w:divBdr>
            <w:top w:val="none" w:sz="0" w:space="0" w:color="auto"/>
            <w:left w:val="none" w:sz="0" w:space="0" w:color="auto"/>
            <w:bottom w:val="none" w:sz="0" w:space="0" w:color="auto"/>
            <w:right w:val="none" w:sz="0" w:space="0" w:color="auto"/>
          </w:divBdr>
        </w:div>
      </w:divsChild>
    </w:div>
    <w:div w:id="1461072922">
      <w:bodyDiv w:val="1"/>
      <w:marLeft w:val="0"/>
      <w:marRight w:val="0"/>
      <w:marTop w:val="0"/>
      <w:marBottom w:val="0"/>
      <w:divBdr>
        <w:top w:val="none" w:sz="0" w:space="0" w:color="auto"/>
        <w:left w:val="none" w:sz="0" w:space="0" w:color="auto"/>
        <w:bottom w:val="none" w:sz="0" w:space="0" w:color="auto"/>
        <w:right w:val="none" w:sz="0" w:space="0" w:color="auto"/>
      </w:divBdr>
      <w:divsChild>
        <w:div w:id="251820586">
          <w:marLeft w:val="0"/>
          <w:marRight w:val="0"/>
          <w:marTop w:val="0"/>
          <w:marBottom w:val="0"/>
          <w:divBdr>
            <w:top w:val="none" w:sz="0" w:space="0" w:color="auto"/>
            <w:left w:val="none" w:sz="0" w:space="0" w:color="auto"/>
            <w:bottom w:val="none" w:sz="0" w:space="0" w:color="auto"/>
            <w:right w:val="none" w:sz="0" w:space="0" w:color="auto"/>
          </w:divBdr>
        </w:div>
        <w:div w:id="119230611">
          <w:marLeft w:val="0"/>
          <w:marRight w:val="0"/>
          <w:marTop w:val="0"/>
          <w:marBottom w:val="0"/>
          <w:divBdr>
            <w:top w:val="none" w:sz="0" w:space="0" w:color="auto"/>
            <w:left w:val="none" w:sz="0" w:space="0" w:color="auto"/>
            <w:bottom w:val="none" w:sz="0" w:space="0" w:color="auto"/>
            <w:right w:val="none" w:sz="0" w:space="0" w:color="auto"/>
          </w:divBdr>
        </w:div>
        <w:div w:id="553397459">
          <w:marLeft w:val="0"/>
          <w:marRight w:val="0"/>
          <w:marTop w:val="0"/>
          <w:marBottom w:val="0"/>
          <w:divBdr>
            <w:top w:val="none" w:sz="0" w:space="0" w:color="auto"/>
            <w:left w:val="none" w:sz="0" w:space="0" w:color="auto"/>
            <w:bottom w:val="none" w:sz="0" w:space="0" w:color="auto"/>
            <w:right w:val="none" w:sz="0" w:space="0" w:color="auto"/>
          </w:divBdr>
        </w:div>
        <w:div w:id="983310669">
          <w:marLeft w:val="0"/>
          <w:marRight w:val="0"/>
          <w:marTop w:val="0"/>
          <w:marBottom w:val="0"/>
          <w:divBdr>
            <w:top w:val="none" w:sz="0" w:space="0" w:color="auto"/>
            <w:left w:val="none" w:sz="0" w:space="0" w:color="auto"/>
            <w:bottom w:val="none" w:sz="0" w:space="0" w:color="auto"/>
            <w:right w:val="none" w:sz="0" w:space="0" w:color="auto"/>
          </w:divBdr>
        </w:div>
        <w:div w:id="1097558305">
          <w:marLeft w:val="0"/>
          <w:marRight w:val="0"/>
          <w:marTop w:val="0"/>
          <w:marBottom w:val="0"/>
          <w:divBdr>
            <w:top w:val="none" w:sz="0" w:space="0" w:color="auto"/>
            <w:left w:val="none" w:sz="0" w:space="0" w:color="auto"/>
            <w:bottom w:val="none" w:sz="0" w:space="0" w:color="auto"/>
            <w:right w:val="none" w:sz="0" w:space="0" w:color="auto"/>
          </w:divBdr>
        </w:div>
        <w:div w:id="1693528125">
          <w:marLeft w:val="0"/>
          <w:marRight w:val="0"/>
          <w:marTop w:val="0"/>
          <w:marBottom w:val="0"/>
          <w:divBdr>
            <w:top w:val="none" w:sz="0" w:space="0" w:color="auto"/>
            <w:left w:val="none" w:sz="0" w:space="0" w:color="auto"/>
            <w:bottom w:val="none" w:sz="0" w:space="0" w:color="auto"/>
            <w:right w:val="none" w:sz="0" w:space="0" w:color="auto"/>
          </w:divBdr>
        </w:div>
        <w:div w:id="998577659">
          <w:marLeft w:val="0"/>
          <w:marRight w:val="0"/>
          <w:marTop w:val="0"/>
          <w:marBottom w:val="0"/>
          <w:divBdr>
            <w:top w:val="none" w:sz="0" w:space="0" w:color="auto"/>
            <w:left w:val="none" w:sz="0" w:space="0" w:color="auto"/>
            <w:bottom w:val="none" w:sz="0" w:space="0" w:color="auto"/>
            <w:right w:val="none" w:sz="0" w:space="0" w:color="auto"/>
          </w:divBdr>
        </w:div>
        <w:div w:id="102699775">
          <w:marLeft w:val="0"/>
          <w:marRight w:val="0"/>
          <w:marTop w:val="0"/>
          <w:marBottom w:val="0"/>
          <w:divBdr>
            <w:top w:val="none" w:sz="0" w:space="0" w:color="auto"/>
            <w:left w:val="none" w:sz="0" w:space="0" w:color="auto"/>
            <w:bottom w:val="none" w:sz="0" w:space="0" w:color="auto"/>
            <w:right w:val="none" w:sz="0" w:space="0" w:color="auto"/>
          </w:divBdr>
        </w:div>
        <w:div w:id="201401903">
          <w:marLeft w:val="0"/>
          <w:marRight w:val="0"/>
          <w:marTop w:val="0"/>
          <w:marBottom w:val="0"/>
          <w:divBdr>
            <w:top w:val="none" w:sz="0" w:space="0" w:color="auto"/>
            <w:left w:val="none" w:sz="0" w:space="0" w:color="auto"/>
            <w:bottom w:val="none" w:sz="0" w:space="0" w:color="auto"/>
            <w:right w:val="none" w:sz="0" w:space="0" w:color="auto"/>
          </w:divBdr>
        </w:div>
        <w:div w:id="131337359">
          <w:marLeft w:val="0"/>
          <w:marRight w:val="0"/>
          <w:marTop w:val="0"/>
          <w:marBottom w:val="0"/>
          <w:divBdr>
            <w:top w:val="none" w:sz="0" w:space="0" w:color="auto"/>
            <w:left w:val="none" w:sz="0" w:space="0" w:color="auto"/>
            <w:bottom w:val="none" w:sz="0" w:space="0" w:color="auto"/>
            <w:right w:val="none" w:sz="0" w:space="0" w:color="auto"/>
          </w:divBdr>
        </w:div>
      </w:divsChild>
    </w:div>
    <w:div w:id="1597707175">
      <w:bodyDiv w:val="1"/>
      <w:marLeft w:val="0"/>
      <w:marRight w:val="0"/>
      <w:marTop w:val="0"/>
      <w:marBottom w:val="0"/>
      <w:divBdr>
        <w:top w:val="none" w:sz="0" w:space="0" w:color="auto"/>
        <w:left w:val="none" w:sz="0" w:space="0" w:color="auto"/>
        <w:bottom w:val="none" w:sz="0" w:space="0" w:color="auto"/>
        <w:right w:val="none" w:sz="0" w:space="0" w:color="auto"/>
      </w:divBdr>
      <w:divsChild>
        <w:div w:id="1203248632">
          <w:marLeft w:val="0"/>
          <w:marRight w:val="0"/>
          <w:marTop w:val="0"/>
          <w:marBottom w:val="0"/>
          <w:divBdr>
            <w:top w:val="none" w:sz="0" w:space="0" w:color="auto"/>
            <w:left w:val="none" w:sz="0" w:space="0" w:color="auto"/>
            <w:bottom w:val="none" w:sz="0" w:space="0" w:color="auto"/>
            <w:right w:val="none" w:sz="0" w:space="0" w:color="auto"/>
          </w:divBdr>
        </w:div>
        <w:div w:id="1295519672">
          <w:marLeft w:val="0"/>
          <w:marRight w:val="0"/>
          <w:marTop w:val="0"/>
          <w:marBottom w:val="0"/>
          <w:divBdr>
            <w:top w:val="none" w:sz="0" w:space="0" w:color="auto"/>
            <w:left w:val="none" w:sz="0" w:space="0" w:color="auto"/>
            <w:bottom w:val="none" w:sz="0" w:space="0" w:color="auto"/>
            <w:right w:val="none" w:sz="0" w:space="0" w:color="auto"/>
          </w:divBdr>
        </w:div>
        <w:div w:id="2135826802">
          <w:marLeft w:val="0"/>
          <w:marRight w:val="0"/>
          <w:marTop w:val="0"/>
          <w:marBottom w:val="0"/>
          <w:divBdr>
            <w:top w:val="none" w:sz="0" w:space="0" w:color="auto"/>
            <w:left w:val="none" w:sz="0" w:space="0" w:color="auto"/>
            <w:bottom w:val="none" w:sz="0" w:space="0" w:color="auto"/>
            <w:right w:val="none" w:sz="0" w:space="0" w:color="auto"/>
          </w:divBdr>
        </w:div>
        <w:div w:id="376247943">
          <w:marLeft w:val="0"/>
          <w:marRight w:val="0"/>
          <w:marTop w:val="0"/>
          <w:marBottom w:val="0"/>
          <w:divBdr>
            <w:top w:val="none" w:sz="0" w:space="0" w:color="auto"/>
            <w:left w:val="none" w:sz="0" w:space="0" w:color="auto"/>
            <w:bottom w:val="none" w:sz="0" w:space="0" w:color="auto"/>
            <w:right w:val="none" w:sz="0" w:space="0" w:color="auto"/>
          </w:divBdr>
        </w:div>
        <w:div w:id="1242908958">
          <w:marLeft w:val="0"/>
          <w:marRight w:val="0"/>
          <w:marTop w:val="0"/>
          <w:marBottom w:val="0"/>
          <w:divBdr>
            <w:top w:val="none" w:sz="0" w:space="0" w:color="auto"/>
            <w:left w:val="none" w:sz="0" w:space="0" w:color="auto"/>
            <w:bottom w:val="none" w:sz="0" w:space="0" w:color="auto"/>
            <w:right w:val="none" w:sz="0" w:space="0" w:color="auto"/>
          </w:divBdr>
        </w:div>
        <w:div w:id="750616502">
          <w:marLeft w:val="0"/>
          <w:marRight w:val="0"/>
          <w:marTop w:val="0"/>
          <w:marBottom w:val="0"/>
          <w:divBdr>
            <w:top w:val="none" w:sz="0" w:space="0" w:color="auto"/>
            <w:left w:val="none" w:sz="0" w:space="0" w:color="auto"/>
            <w:bottom w:val="none" w:sz="0" w:space="0" w:color="auto"/>
            <w:right w:val="none" w:sz="0" w:space="0" w:color="auto"/>
          </w:divBdr>
        </w:div>
        <w:div w:id="301347168">
          <w:marLeft w:val="0"/>
          <w:marRight w:val="0"/>
          <w:marTop w:val="0"/>
          <w:marBottom w:val="0"/>
          <w:divBdr>
            <w:top w:val="none" w:sz="0" w:space="0" w:color="auto"/>
            <w:left w:val="none" w:sz="0" w:space="0" w:color="auto"/>
            <w:bottom w:val="none" w:sz="0" w:space="0" w:color="auto"/>
            <w:right w:val="none" w:sz="0" w:space="0" w:color="auto"/>
          </w:divBdr>
        </w:div>
        <w:div w:id="1151293324">
          <w:marLeft w:val="0"/>
          <w:marRight w:val="0"/>
          <w:marTop w:val="0"/>
          <w:marBottom w:val="0"/>
          <w:divBdr>
            <w:top w:val="none" w:sz="0" w:space="0" w:color="auto"/>
            <w:left w:val="none" w:sz="0" w:space="0" w:color="auto"/>
            <w:bottom w:val="none" w:sz="0" w:space="0" w:color="auto"/>
            <w:right w:val="none" w:sz="0" w:space="0" w:color="auto"/>
          </w:divBdr>
        </w:div>
        <w:div w:id="1059783726">
          <w:marLeft w:val="0"/>
          <w:marRight w:val="0"/>
          <w:marTop w:val="0"/>
          <w:marBottom w:val="0"/>
          <w:divBdr>
            <w:top w:val="none" w:sz="0" w:space="0" w:color="auto"/>
            <w:left w:val="none" w:sz="0" w:space="0" w:color="auto"/>
            <w:bottom w:val="none" w:sz="0" w:space="0" w:color="auto"/>
            <w:right w:val="none" w:sz="0" w:space="0" w:color="auto"/>
          </w:divBdr>
        </w:div>
        <w:div w:id="1898514088">
          <w:marLeft w:val="0"/>
          <w:marRight w:val="0"/>
          <w:marTop w:val="0"/>
          <w:marBottom w:val="0"/>
          <w:divBdr>
            <w:top w:val="none" w:sz="0" w:space="0" w:color="auto"/>
            <w:left w:val="none" w:sz="0" w:space="0" w:color="auto"/>
            <w:bottom w:val="none" w:sz="0" w:space="0" w:color="auto"/>
            <w:right w:val="none" w:sz="0" w:space="0" w:color="auto"/>
          </w:divBdr>
        </w:div>
      </w:divsChild>
    </w:div>
    <w:div w:id="1723282719">
      <w:bodyDiv w:val="1"/>
      <w:marLeft w:val="0"/>
      <w:marRight w:val="0"/>
      <w:marTop w:val="0"/>
      <w:marBottom w:val="0"/>
      <w:divBdr>
        <w:top w:val="none" w:sz="0" w:space="0" w:color="auto"/>
        <w:left w:val="none" w:sz="0" w:space="0" w:color="auto"/>
        <w:bottom w:val="none" w:sz="0" w:space="0" w:color="auto"/>
        <w:right w:val="none" w:sz="0" w:space="0" w:color="auto"/>
      </w:divBdr>
      <w:divsChild>
        <w:div w:id="2003972021">
          <w:marLeft w:val="0"/>
          <w:marRight w:val="0"/>
          <w:marTop w:val="0"/>
          <w:marBottom w:val="0"/>
          <w:divBdr>
            <w:top w:val="none" w:sz="0" w:space="0" w:color="auto"/>
            <w:left w:val="none" w:sz="0" w:space="0" w:color="auto"/>
            <w:bottom w:val="none" w:sz="0" w:space="0" w:color="auto"/>
            <w:right w:val="none" w:sz="0" w:space="0" w:color="auto"/>
          </w:divBdr>
        </w:div>
        <w:div w:id="1844391880">
          <w:marLeft w:val="0"/>
          <w:marRight w:val="0"/>
          <w:marTop w:val="0"/>
          <w:marBottom w:val="0"/>
          <w:divBdr>
            <w:top w:val="none" w:sz="0" w:space="0" w:color="auto"/>
            <w:left w:val="none" w:sz="0" w:space="0" w:color="auto"/>
            <w:bottom w:val="none" w:sz="0" w:space="0" w:color="auto"/>
            <w:right w:val="none" w:sz="0" w:space="0" w:color="auto"/>
          </w:divBdr>
        </w:div>
        <w:div w:id="125783315">
          <w:marLeft w:val="0"/>
          <w:marRight w:val="0"/>
          <w:marTop w:val="0"/>
          <w:marBottom w:val="0"/>
          <w:divBdr>
            <w:top w:val="none" w:sz="0" w:space="0" w:color="auto"/>
            <w:left w:val="none" w:sz="0" w:space="0" w:color="auto"/>
            <w:bottom w:val="none" w:sz="0" w:space="0" w:color="auto"/>
            <w:right w:val="none" w:sz="0" w:space="0" w:color="auto"/>
          </w:divBdr>
        </w:div>
      </w:divsChild>
    </w:div>
    <w:div w:id="1773429691">
      <w:bodyDiv w:val="1"/>
      <w:marLeft w:val="0"/>
      <w:marRight w:val="0"/>
      <w:marTop w:val="0"/>
      <w:marBottom w:val="0"/>
      <w:divBdr>
        <w:top w:val="none" w:sz="0" w:space="0" w:color="auto"/>
        <w:left w:val="none" w:sz="0" w:space="0" w:color="auto"/>
        <w:bottom w:val="none" w:sz="0" w:space="0" w:color="auto"/>
        <w:right w:val="none" w:sz="0" w:space="0" w:color="auto"/>
      </w:divBdr>
      <w:divsChild>
        <w:div w:id="618296536">
          <w:marLeft w:val="0"/>
          <w:marRight w:val="0"/>
          <w:marTop w:val="0"/>
          <w:marBottom w:val="0"/>
          <w:divBdr>
            <w:top w:val="none" w:sz="0" w:space="0" w:color="auto"/>
            <w:left w:val="none" w:sz="0" w:space="0" w:color="auto"/>
            <w:bottom w:val="none" w:sz="0" w:space="0" w:color="auto"/>
            <w:right w:val="none" w:sz="0" w:space="0" w:color="auto"/>
          </w:divBdr>
          <w:divsChild>
            <w:div w:id="1999142756">
              <w:marLeft w:val="0"/>
              <w:marRight w:val="0"/>
              <w:marTop w:val="0"/>
              <w:marBottom w:val="0"/>
              <w:divBdr>
                <w:top w:val="none" w:sz="0" w:space="0" w:color="auto"/>
                <w:left w:val="none" w:sz="0" w:space="0" w:color="auto"/>
                <w:bottom w:val="none" w:sz="0" w:space="0" w:color="auto"/>
                <w:right w:val="none" w:sz="0" w:space="0" w:color="auto"/>
              </w:divBdr>
            </w:div>
            <w:div w:id="1129977378">
              <w:marLeft w:val="0"/>
              <w:marRight w:val="0"/>
              <w:marTop w:val="0"/>
              <w:marBottom w:val="0"/>
              <w:divBdr>
                <w:top w:val="none" w:sz="0" w:space="0" w:color="auto"/>
                <w:left w:val="none" w:sz="0" w:space="0" w:color="auto"/>
                <w:bottom w:val="none" w:sz="0" w:space="0" w:color="auto"/>
                <w:right w:val="none" w:sz="0" w:space="0" w:color="auto"/>
              </w:divBdr>
            </w:div>
            <w:div w:id="985285681">
              <w:marLeft w:val="0"/>
              <w:marRight w:val="0"/>
              <w:marTop w:val="0"/>
              <w:marBottom w:val="0"/>
              <w:divBdr>
                <w:top w:val="none" w:sz="0" w:space="0" w:color="auto"/>
                <w:left w:val="none" w:sz="0" w:space="0" w:color="auto"/>
                <w:bottom w:val="none" w:sz="0" w:space="0" w:color="auto"/>
                <w:right w:val="none" w:sz="0" w:space="0" w:color="auto"/>
              </w:divBdr>
            </w:div>
          </w:divsChild>
        </w:div>
        <w:div w:id="310410443">
          <w:marLeft w:val="0"/>
          <w:marRight w:val="0"/>
          <w:marTop w:val="0"/>
          <w:marBottom w:val="0"/>
          <w:divBdr>
            <w:top w:val="none" w:sz="0" w:space="0" w:color="auto"/>
            <w:left w:val="none" w:sz="0" w:space="0" w:color="auto"/>
            <w:bottom w:val="none" w:sz="0" w:space="0" w:color="auto"/>
            <w:right w:val="none" w:sz="0" w:space="0" w:color="auto"/>
          </w:divBdr>
          <w:divsChild>
            <w:div w:id="1589074597">
              <w:marLeft w:val="0"/>
              <w:marRight w:val="0"/>
              <w:marTop w:val="0"/>
              <w:marBottom w:val="0"/>
              <w:divBdr>
                <w:top w:val="none" w:sz="0" w:space="0" w:color="auto"/>
                <w:left w:val="none" w:sz="0" w:space="0" w:color="auto"/>
                <w:bottom w:val="none" w:sz="0" w:space="0" w:color="auto"/>
                <w:right w:val="none" w:sz="0" w:space="0" w:color="auto"/>
              </w:divBdr>
            </w:div>
          </w:divsChild>
        </w:div>
        <w:div w:id="477067333">
          <w:marLeft w:val="0"/>
          <w:marRight w:val="0"/>
          <w:marTop w:val="0"/>
          <w:marBottom w:val="0"/>
          <w:divBdr>
            <w:top w:val="none" w:sz="0" w:space="0" w:color="auto"/>
            <w:left w:val="none" w:sz="0" w:space="0" w:color="auto"/>
            <w:bottom w:val="none" w:sz="0" w:space="0" w:color="auto"/>
            <w:right w:val="none" w:sz="0" w:space="0" w:color="auto"/>
          </w:divBdr>
          <w:divsChild>
            <w:div w:id="1042630562">
              <w:marLeft w:val="0"/>
              <w:marRight w:val="0"/>
              <w:marTop w:val="0"/>
              <w:marBottom w:val="0"/>
              <w:divBdr>
                <w:top w:val="none" w:sz="0" w:space="0" w:color="auto"/>
                <w:left w:val="none" w:sz="0" w:space="0" w:color="auto"/>
                <w:bottom w:val="none" w:sz="0" w:space="0" w:color="auto"/>
                <w:right w:val="none" w:sz="0" w:space="0" w:color="auto"/>
              </w:divBdr>
            </w:div>
          </w:divsChild>
        </w:div>
        <w:div w:id="1932546989">
          <w:marLeft w:val="0"/>
          <w:marRight w:val="0"/>
          <w:marTop w:val="0"/>
          <w:marBottom w:val="0"/>
          <w:divBdr>
            <w:top w:val="none" w:sz="0" w:space="0" w:color="auto"/>
            <w:left w:val="none" w:sz="0" w:space="0" w:color="auto"/>
            <w:bottom w:val="none" w:sz="0" w:space="0" w:color="auto"/>
            <w:right w:val="none" w:sz="0" w:space="0" w:color="auto"/>
          </w:divBdr>
          <w:divsChild>
            <w:div w:id="1848397028">
              <w:marLeft w:val="0"/>
              <w:marRight w:val="0"/>
              <w:marTop w:val="0"/>
              <w:marBottom w:val="0"/>
              <w:divBdr>
                <w:top w:val="none" w:sz="0" w:space="0" w:color="auto"/>
                <w:left w:val="none" w:sz="0" w:space="0" w:color="auto"/>
                <w:bottom w:val="none" w:sz="0" w:space="0" w:color="auto"/>
                <w:right w:val="none" w:sz="0" w:space="0" w:color="auto"/>
              </w:divBdr>
            </w:div>
          </w:divsChild>
        </w:div>
        <w:div w:id="1496261756">
          <w:marLeft w:val="0"/>
          <w:marRight w:val="0"/>
          <w:marTop w:val="0"/>
          <w:marBottom w:val="0"/>
          <w:divBdr>
            <w:top w:val="none" w:sz="0" w:space="0" w:color="auto"/>
            <w:left w:val="none" w:sz="0" w:space="0" w:color="auto"/>
            <w:bottom w:val="none" w:sz="0" w:space="0" w:color="auto"/>
            <w:right w:val="none" w:sz="0" w:space="0" w:color="auto"/>
          </w:divBdr>
          <w:divsChild>
            <w:div w:id="469517452">
              <w:marLeft w:val="0"/>
              <w:marRight w:val="0"/>
              <w:marTop w:val="0"/>
              <w:marBottom w:val="0"/>
              <w:divBdr>
                <w:top w:val="none" w:sz="0" w:space="0" w:color="auto"/>
                <w:left w:val="none" w:sz="0" w:space="0" w:color="auto"/>
                <w:bottom w:val="none" w:sz="0" w:space="0" w:color="auto"/>
                <w:right w:val="none" w:sz="0" w:space="0" w:color="auto"/>
              </w:divBdr>
            </w:div>
          </w:divsChild>
        </w:div>
        <w:div w:id="891767335">
          <w:marLeft w:val="0"/>
          <w:marRight w:val="0"/>
          <w:marTop w:val="0"/>
          <w:marBottom w:val="0"/>
          <w:divBdr>
            <w:top w:val="none" w:sz="0" w:space="0" w:color="auto"/>
            <w:left w:val="none" w:sz="0" w:space="0" w:color="auto"/>
            <w:bottom w:val="none" w:sz="0" w:space="0" w:color="auto"/>
            <w:right w:val="none" w:sz="0" w:space="0" w:color="auto"/>
          </w:divBdr>
        </w:div>
      </w:divsChild>
    </w:div>
    <w:div w:id="2009943932">
      <w:bodyDiv w:val="1"/>
      <w:marLeft w:val="0"/>
      <w:marRight w:val="0"/>
      <w:marTop w:val="0"/>
      <w:marBottom w:val="0"/>
      <w:divBdr>
        <w:top w:val="none" w:sz="0" w:space="0" w:color="auto"/>
        <w:left w:val="none" w:sz="0" w:space="0" w:color="auto"/>
        <w:bottom w:val="none" w:sz="0" w:space="0" w:color="auto"/>
        <w:right w:val="none" w:sz="0" w:space="0" w:color="auto"/>
      </w:divBdr>
      <w:divsChild>
        <w:div w:id="1125612788">
          <w:marLeft w:val="0"/>
          <w:marRight w:val="0"/>
          <w:marTop w:val="0"/>
          <w:marBottom w:val="0"/>
          <w:divBdr>
            <w:top w:val="none" w:sz="0" w:space="0" w:color="auto"/>
            <w:left w:val="none" w:sz="0" w:space="0" w:color="auto"/>
            <w:bottom w:val="none" w:sz="0" w:space="0" w:color="auto"/>
            <w:right w:val="none" w:sz="0" w:space="0" w:color="auto"/>
          </w:divBdr>
        </w:div>
        <w:div w:id="1979677822">
          <w:marLeft w:val="0"/>
          <w:marRight w:val="0"/>
          <w:marTop w:val="0"/>
          <w:marBottom w:val="0"/>
          <w:divBdr>
            <w:top w:val="none" w:sz="0" w:space="0" w:color="auto"/>
            <w:left w:val="none" w:sz="0" w:space="0" w:color="auto"/>
            <w:bottom w:val="none" w:sz="0" w:space="0" w:color="auto"/>
            <w:right w:val="none" w:sz="0" w:space="0" w:color="auto"/>
          </w:divBdr>
        </w:div>
        <w:div w:id="456917572">
          <w:marLeft w:val="0"/>
          <w:marRight w:val="0"/>
          <w:marTop w:val="0"/>
          <w:marBottom w:val="0"/>
          <w:divBdr>
            <w:top w:val="none" w:sz="0" w:space="0" w:color="auto"/>
            <w:left w:val="none" w:sz="0" w:space="0" w:color="auto"/>
            <w:bottom w:val="none" w:sz="0" w:space="0" w:color="auto"/>
            <w:right w:val="none" w:sz="0" w:space="0" w:color="auto"/>
          </w:divBdr>
        </w:div>
        <w:div w:id="2137672537">
          <w:marLeft w:val="0"/>
          <w:marRight w:val="0"/>
          <w:marTop w:val="0"/>
          <w:marBottom w:val="0"/>
          <w:divBdr>
            <w:top w:val="none" w:sz="0" w:space="0" w:color="auto"/>
            <w:left w:val="none" w:sz="0" w:space="0" w:color="auto"/>
            <w:bottom w:val="none" w:sz="0" w:space="0" w:color="auto"/>
            <w:right w:val="none" w:sz="0" w:space="0" w:color="auto"/>
          </w:divBdr>
        </w:div>
        <w:div w:id="750274676">
          <w:marLeft w:val="0"/>
          <w:marRight w:val="0"/>
          <w:marTop w:val="0"/>
          <w:marBottom w:val="0"/>
          <w:divBdr>
            <w:top w:val="none" w:sz="0" w:space="0" w:color="auto"/>
            <w:left w:val="none" w:sz="0" w:space="0" w:color="auto"/>
            <w:bottom w:val="none" w:sz="0" w:space="0" w:color="auto"/>
            <w:right w:val="none" w:sz="0" w:space="0" w:color="auto"/>
          </w:divBdr>
        </w:div>
        <w:div w:id="578365818">
          <w:marLeft w:val="0"/>
          <w:marRight w:val="0"/>
          <w:marTop w:val="0"/>
          <w:marBottom w:val="0"/>
          <w:divBdr>
            <w:top w:val="none" w:sz="0" w:space="0" w:color="auto"/>
            <w:left w:val="none" w:sz="0" w:space="0" w:color="auto"/>
            <w:bottom w:val="none" w:sz="0" w:space="0" w:color="auto"/>
            <w:right w:val="none" w:sz="0" w:space="0" w:color="auto"/>
          </w:divBdr>
        </w:div>
        <w:div w:id="611597937">
          <w:marLeft w:val="0"/>
          <w:marRight w:val="0"/>
          <w:marTop w:val="0"/>
          <w:marBottom w:val="0"/>
          <w:divBdr>
            <w:top w:val="none" w:sz="0" w:space="0" w:color="auto"/>
            <w:left w:val="none" w:sz="0" w:space="0" w:color="auto"/>
            <w:bottom w:val="none" w:sz="0" w:space="0" w:color="auto"/>
            <w:right w:val="none" w:sz="0" w:space="0" w:color="auto"/>
          </w:divBdr>
        </w:div>
        <w:div w:id="1168717455">
          <w:marLeft w:val="0"/>
          <w:marRight w:val="0"/>
          <w:marTop w:val="0"/>
          <w:marBottom w:val="0"/>
          <w:divBdr>
            <w:top w:val="none" w:sz="0" w:space="0" w:color="auto"/>
            <w:left w:val="none" w:sz="0" w:space="0" w:color="auto"/>
            <w:bottom w:val="none" w:sz="0" w:space="0" w:color="auto"/>
            <w:right w:val="none" w:sz="0" w:space="0" w:color="auto"/>
          </w:divBdr>
        </w:div>
        <w:div w:id="159514971">
          <w:marLeft w:val="0"/>
          <w:marRight w:val="0"/>
          <w:marTop w:val="0"/>
          <w:marBottom w:val="0"/>
          <w:divBdr>
            <w:top w:val="none" w:sz="0" w:space="0" w:color="auto"/>
            <w:left w:val="none" w:sz="0" w:space="0" w:color="auto"/>
            <w:bottom w:val="none" w:sz="0" w:space="0" w:color="auto"/>
            <w:right w:val="none" w:sz="0" w:space="0" w:color="auto"/>
          </w:divBdr>
        </w:div>
        <w:div w:id="670374400">
          <w:marLeft w:val="0"/>
          <w:marRight w:val="0"/>
          <w:marTop w:val="0"/>
          <w:marBottom w:val="0"/>
          <w:divBdr>
            <w:top w:val="none" w:sz="0" w:space="0" w:color="auto"/>
            <w:left w:val="none" w:sz="0" w:space="0" w:color="auto"/>
            <w:bottom w:val="none" w:sz="0" w:space="0" w:color="auto"/>
            <w:right w:val="none" w:sz="0" w:space="0" w:color="auto"/>
          </w:divBdr>
        </w:div>
      </w:divsChild>
    </w:div>
    <w:div w:id="2056004942">
      <w:bodyDiv w:val="1"/>
      <w:marLeft w:val="0"/>
      <w:marRight w:val="0"/>
      <w:marTop w:val="0"/>
      <w:marBottom w:val="0"/>
      <w:divBdr>
        <w:top w:val="none" w:sz="0" w:space="0" w:color="auto"/>
        <w:left w:val="none" w:sz="0" w:space="0" w:color="auto"/>
        <w:bottom w:val="none" w:sz="0" w:space="0" w:color="auto"/>
        <w:right w:val="none" w:sz="0" w:space="0" w:color="auto"/>
      </w:divBdr>
      <w:divsChild>
        <w:div w:id="1408768026">
          <w:marLeft w:val="0"/>
          <w:marRight w:val="0"/>
          <w:marTop w:val="0"/>
          <w:marBottom w:val="0"/>
          <w:divBdr>
            <w:top w:val="none" w:sz="0" w:space="0" w:color="auto"/>
            <w:left w:val="none" w:sz="0" w:space="0" w:color="auto"/>
            <w:bottom w:val="none" w:sz="0" w:space="0" w:color="auto"/>
            <w:right w:val="none" w:sz="0" w:space="0" w:color="auto"/>
          </w:divBdr>
        </w:div>
        <w:div w:id="513960568">
          <w:marLeft w:val="0"/>
          <w:marRight w:val="0"/>
          <w:marTop w:val="0"/>
          <w:marBottom w:val="0"/>
          <w:divBdr>
            <w:top w:val="none" w:sz="0" w:space="0" w:color="auto"/>
            <w:left w:val="none" w:sz="0" w:space="0" w:color="auto"/>
            <w:bottom w:val="none" w:sz="0" w:space="0" w:color="auto"/>
            <w:right w:val="none" w:sz="0" w:space="0" w:color="auto"/>
          </w:divBdr>
        </w:div>
        <w:div w:id="572853768">
          <w:marLeft w:val="0"/>
          <w:marRight w:val="0"/>
          <w:marTop w:val="0"/>
          <w:marBottom w:val="0"/>
          <w:divBdr>
            <w:top w:val="none" w:sz="0" w:space="0" w:color="auto"/>
            <w:left w:val="none" w:sz="0" w:space="0" w:color="auto"/>
            <w:bottom w:val="none" w:sz="0" w:space="0" w:color="auto"/>
            <w:right w:val="none" w:sz="0" w:space="0" w:color="auto"/>
          </w:divBdr>
        </w:div>
        <w:div w:id="1360398902">
          <w:marLeft w:val="0"/>
          <w:marRight w:val="0"/>
          <w:marTop w:val="0"/>
          <w:marBottom w:val="0"/>
          <w:divBdr>
            <w:top w:val="none" w:sz="0" w:space="0" w:color="auto"/>
            <w:left w:val="none" w:sz="0" w:space="0" w:color="auto"/>
            <w:bottom w:val="none" w:sz="0" w:space="0" w:color="auto"/>
            <w:right w:val="none" w:sz="0" w:space="0" w:color="auto"/>
          </w:divBdr>
        </w:div>
        <w:div w:id="991955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duns-uei" TargetMode="External"/><Relationship Id="rId18" Type="http://schemas.openxmlformats.org/officeDocument/2006/relationships/hyperlink" Target="https://www.ecfr.gov/current/title-24/subtitle-B/chapter-V/subchapter-C/part-570/subpart-C/section-570.201" TargetMode="External"/><Relationship Id="rId26" Type="http://schemas.openxmlformats.org/officeDocument/2006/relationships/hyperlink" Target="https://www.hudexchange.info/programs/davis-bacon-and-labor-standards/" TargetMode="External"/><Relationship Id="rId39" Type="http://schemas.openxmlformats.org/officeDocument/2006/relationships/hyperlink" Target="https://www.hudexchange.info/trainings/basically-cdbg/" TargetMode="External"/><Relationship Id="rId21" Type="http://schemas.openxmlformats.org/officeDocument/2006/relationships/hyperlink" Target="https://www.ecfr.gov/current/title-24/subtitle-B/chapter-V/subchapter-C/part-570/subpart-C/section-570.207" TargetMode="External"/><Relationship Id="rId34" Type="http://schemas.openxmlformats.org/officeDocument/2006/relationships/hyperlink" Target="https://www.hudexchange.info/programs/environmental-review/federal-related-laws-and-authorities/" TargetMode="External"/><Relationship Id="rId42" Type="http://schemas.openxmlformats.org/officeDocument/2006/relationships/hyperlink" Target="https://www.hudexchange.info/resource/6717/davis-bacon-and-labor-standards-agency-contractor-guide-and-contractor-addendum/"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hudexchange.info/resource/5334/cdbg-income-limits/" TargetMode="External"/><Relationship Id="rId29" Type="http://schemas.openxmlformats.org/officeDocument/2006/relationships/hyperlink" Target="https://www.bloomingtonil.gov/departments/community-impact-enhancement/grants-management-division/community-development-block-grant-cdb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part-200" TargetMode="External"/><Relationship Id="rId24" Type="http://schemas.openxmlformats.org/officeDocument/2006/relationships/hyperlink" Target="https://www.ecfr.gov/current/title-24/part-570" TargetMode="External"/><Relationship Id="rId32" Type="http://schemas.openxmlformats.org/officeDocument/2006/relationships/hyperlink" Target="https://experience.arcgis.com/experience/279eca0222754f8a954bbf8cf995a1a3" TargetMode="External"/><Relationship Id="rId37" Type="http://schemas.openxmlformats.org/officeDocument/2006/relationships/hyperlink" Target="https://www.bloomingtonil.gov/departments/development-services/planning-zoning/comprehensive-plan" TargetMode="External"/><Relationship Id="rId40" Type="http://schemas.openxmlformats.org/officeDocument/2006/relationships/hyperlink" Target="https://sam.gov/"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cfr.gov/current/title-24/subtitle-B/chapter-V/subchapter-C/part-570/subpart-C/section-570.208" TargetMode="External"/><Relationship Id="rId23" Type="http://schemas.openxmlformats.org/officeDocument/2006/relationships/hyperlink" Target="https://www.ecfr.gov/current/title-2/part-200" TargetMode="External"/><Relationship Id="rId28" Type="http://schemas.openxmlformats.org/officeDocument/2006/relationships/hyperlink" Target="https://us06web.zoom.us/j/82023505851" TargetMode="External"/><Relationship Id="rId36" Type="http://schemas.openxmlformats.org/officeDocument/2006/relationships/hyperlink" Target="https://www.mcleancountyil.gov/1656/Community-Health-Needs-Assessment-Health" TargetMode="External"/><Relationship Id="rId10" Type="http://schemas.openxmlformats.org/officeDocument/2006/relationships/hyperlink" Target="https://www.ecfr.gov/current/title-24/subtitle-B/chapter-V/subchapter-C/part-570" TargetMode="External"/><Relationship Id="rId19" Type="http://schemas.openxmlformats.org/officeDocument/2006/relationships/hyperlink" Target="https://www.ecfr.gov/current/title-24/subtitle-B/chapter-V/subchapter-C/part-570/subpart-C/section-570.202" TargetMode="External"/><Relationship Id="rId31" Type="http://schemas.openxmlformats.org/officeDocument/2006/relationships/hyperlink" Target="https://www.hudexchange.info/programs/cdbg/" TargetMode="External"/><Relationship Id="rId44" Type="http://schemas.openxmlformats.org/officeDocument/2006/relationships/hyperlink" Target="mailto:wbessler@citybl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section-200.214" TargetMode="External"/><Relationship Id="rId22" Type="http://schemas.openxmlformats.org/officeDocument/2006/relationships/hyperlink" Target="https://portal.neighborlysoftware.com/bloomingtonil/Participant" TargetMode="External"/><Relationship Id="rId27" Type="http://schemas.openxmlformats.org/officeDocument/2006/relationships/hyperlink" Target="https://www.hudexchange.info/programs/environmental-review/federal-related-laws-and-authorities/" TargetMode="External"/><Relationship Id="rId30" Type="http://schemas.openxmlformats.org/officeDocument/2006/relationships/hyperlink" Target="https://www.bloomingtonil.gov/departments/community-impact-enhancement/grants-management-division/community-development-block-grant-cdbg/grant-resources-forms" TargetMode="External"/><Relationship Id="rId35" Type="http://schemas.openxmlformats.org/officeDocument/2006/relationships/hyperlink" Target="https://www.epa.gov/nepa/nepassist" TargetMode="External"/><Relationship Id="rId43" Type="http://schemas.openxmlformats.org/officeDocument/2006/relationships/hyperlink" Target="mailto:jgerard@cityblm.org"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bloomingtonil.gov/departments/community-impact-enhancement/grants-management-division/community-development-block-grant-cdbg/consolidated-plan" TargetMode="External"/><Relationship Id="rId17" Type="http://schemas.openxmlformats.org/officeDocument/2006/relationships/hyperlink" Target="https://www.ecfr.gov/current/title-24/subtitle-B/chapter-V/subchapter-C/part-570/subpart-C/section-570.209" TargetMode="External"/><Relationship Id="rId25" Type="http://schemas.openxmlformats.org/officeDocument/2006/relationships/hyperlink" Target="https://www.ecfr.gov/current/title-24/section-570.506" TargetMode="External"/><Relationship Id="rId33" Type="http://schemas.openxmlformats.org/officeDocument/2006/relationships/hyperlink" Target="https://www.hudexchange.info/programs/environmental-review/" TargetMode="External"/><Relationship Id="rId38" Type="http://schemas.openxmlformats.org/officeDocument/2006/relationships/hyperlink" Target="https://www.hudexchange.info/trainings/financial-management-curriculum/" TargetMode="External"/><Relationship Id="rId46" Type="http://schemas.openxmlformats.org/officeDocument/2006/relationships/footer" Target="footer1.xml"/><Relationship Id="rId20" Type="http://schemas.openxmlformats.org/officeDocument/2006/relationships/hyperlink" Target="https://www.ecfr.gov/current/title-24/subtitle-B/chapter-V/subchapter-C/part-570/subpart-C/section-570.206" TargetMode="External"/><Relationship Id="rId41" Type="http://schemas.openxmlformats.org/officeDocument/2006/relationships/hyperlink" Target="https://labor.illinois.gov/laws-rules/conmed/certifiedtranscriptofpayrol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53F58F647E74EBBD1B7CC1DC5637C" ma:contentTypeVersion="17" ma:contentTypeDescription="Create a new document." ma:contentTypeScope="" ma:versionID="54860595159482191fdc4cd901e7408a">
  <xsd:schema xmlns:xsd="http://www.w3.org/2001/XMLSchema" xmlns:xs="http://www.w3.org/2001/XMLSchema" xmlns:p="http://schemas.microsoft.com/office/2006/metadata/properties" xmlns:ns1="http://schemas.microsoft.com/sharepoint/v3" xmlns:ns2="73181a9b-cbf4-4c99-907c-587b86a4db1b" xmlns:ns3="c5a08190-6107-40cb-aa2c-aacc48a738ea" targetNamespace="http://schemas.microsoft.com/office/2006/metadata/properties" ma:root="true" ma:fieldsID="20034c44424907b5e1c9da4088496269" ns1:_="" ns2:_="" ns3:_="">
    <xsd:import namespace="http://schemas.microsoft.com/sharepoint/v3"/>
    <xsd:import namespace="73181a9b-cbf4-4c99-907c-587b86a4db1b"/>
    <xsd:import namespace="c5a08190-6107-40cb-aa2c-aacc48a738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81a9b-cbf4-4c99-907c-587b86a4d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72101-6a5c-4d18-a727-80ceaead1c4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a08190-6107-40cb-aa2c-aacc48a738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d3c51e-1f2a-4413-b103-42839e44028e}" ma:internalName="TaxCatchAll" ma:showField="CatchAllData" ma:web="c5a08190-6107-40cb-aa2c-aacc48a73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5a08190-6107-40cb-aa2c-aacc48a738ea" xsi:nil="true"/>
    <lcf76f155ced4ddcb4097134ff3c332f xmlns="73181a9b-cbf4-4c99-907c-587b86a4db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6A4A9-26D2-4D74-BD6B-CDA79F0C94E1}"/>
</file>

<file path=customXml/itemProps2.xml><?xml version="1.0" encoding="utf-8"?>
<ds:datastoreItem xmlns:ds="http://schemas.openxmlformats.org/officeDocument/2006/customXml" ds:itemID="{7DCF4CAD-7423-4D91-ACA1-10A3187618D4}">
  <ds:schemaRefs>
    <ds:schemaRef ds:uri="http://schemas.microsoft.com/office/2006/metadata/properties"/>
    <ds:schemaRef ds:uri="http://schemas.microsoft.com/office/infopath/2007/PartnerControls"/>
    <ds:schemaRef ds:uri="http://schemas.microsoft.com/sharepoint/v3"/>
    <ds:schemaRef ds:uri="c5a08190-6107-40cb-aa2c-aacc48a738ea"/>
    <ds:schemaRef ds:uri="73181a9b-cbf4-4c99-907c-587b86a4db1b"/>
  </ds:schemaRefs>
</ds:datastoreItem>
</file>

<file path=customXml/itemProps3.xml><?xml version="1.0" encoding="utf-8"?>
<ds:datastoreItem xmlns:ds="http://schemas.openxmlformats.org/officeDocument/2006/customXml" ds:itemID="{0ACAA831-B4F7-490F-A5AE-BD21545A8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9</Pages>
  <Words>3092</Words>
  <Characters>17630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Bessler</dc:creator>
  <cp:keywords/>
  <dc:description/>
  <cp:lastModifiedBy>William Bessler</cp:lastModifiedBy>
  <cp:revision>348</cp:revision>
  <dcterms:created xsi:type="dcterms:W3CDTF">2022-12-05T15:33:00Z</dcterms:created>
  <dcterms:modified xsi:type="dcterms:W3CDTF">2025-10-22T21:21:00Z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0x010100BE853F58F647E74EBBD1B7CC1DC5637C</vt:lpwstr>
  </property>
  <property fmtid="{D5CDD505-2E9C-101B-9397-08002B2CF9AE}" pid="3" name="Order">
    <vt:r8>1394900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